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7" w:type="dxa"/>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422"/>
        <w:gridCol w:w="2189"/>
        <w:gridCol w:w="7146"/>
      </w:tblGrid>
      <w:tr w:rsidR="00FF6B5A" w:rsidRPr="00FF6B5A" w14:paraId="38D0CD8E" w14:textId="77777777" w:rsidTr="00731E38">
        <w:trPr>
          <w:trHeight w:val="204"/>
        </w:trPr>
        <w:tc>
          <w:tcPr>
            <w:tcW w:w="160" w:type="dxa"/>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422" w:type="dxa"/>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89" w:type="dxa"/>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46" w:type="dxa"/>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00731E38">
        <w:trPr>
          <w:trHeight w:val="450"/>
        </w:trPr>
        <w:tc>
          <w:tcPr>
            <w:tcW w:w="160" w:type="dxa"/>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9757" w:type="dxa"/>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724038A" w14:textId="77777777" w:rsidTr="00731E38">
        <w:trPr>
          <w:trHeight w:val="450"/>
        </w:trPr>
        <w:tc>
          <w:tcPr>
            <w:tcW w:w="160" w:type="dxa"/>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9757" w:type="dxa"/>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00731E38">
        <w:trPr>
          <w:trHeight w:val="60"/>
        </w:trPr>
        <w:tc>
          <w:tcPr>
            <w:tcW w:w="160" w:type="dxa"/>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422" w:type="dxa"/>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89" w:type="dxa"/>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46" w:type="dxa"/>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00731E38">
        <w:trPr>
          <w:trHeight w:val="375"/>
        </w:trPr>
        <w:tc>
          <w:tcPr>
            <w:tcW w:w="160" w:type="dxa"/>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9757" w:type="dxa"/>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5D274F5F" w14:textId="77777777" w:rsidTr="00731E38">
        <w:trPr>
          <w:trHeight w:val="375"/>
        </w:trPr>
        <w:tc>
          <w:tcPr>
            <w:tcW w:w="160" w:type="dxa"/>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9757" w:type="dxa"/>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00731E38">
        <w:trPr>
          <w:trHeight w:val="90"/>
        </w:trPr>
        <w:tc>
          <w:tcPr>
            <w:tcW w:w="160" w:type="dxa"/>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422" w:type="dxa"/>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89" w:type="dxa"/>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46" w:type="dxa"/>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00731E38">
        <w:trPr>
          <w:trHeight w:val="345"/>
        </w:trPr>
        <w:tc>
          <w:tcPr>
            <w:tcW w:w="160" w:type="dxa"/>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422" w:type="dxa"/>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89" w:type="dxa"/>
            <w:shd w:val="clear" w:color="auto" w:fill="D9E1F2"/>
            <w:vAlign w:val="center"/>
            <w:hideMark/>
          </w:tcPr>
          <w:p w14:paraId="2A6A7906" w14:textId="77777777" w:rsidR="00FF6B5A" w:rsidRPr="00FF6B5A" w:rsidRDefault="007E465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7146" w:type="dxa"/>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00731E38">
        <w:trPr>
          <w:trHeight w:val="345"/>
        </w:trPr>
        <w:tc>
          <w:tcPr>
            <w:tcW w:w="160" w:type="dxa"/>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2189" w:type="dxa"/>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7146" w:type="dxa"/>
            <w:shd w:val="clear" w:color="auto" w:fill="auto"/>
            <w:hideMark/>
          </w:tcPr>
          <w:p w14:paraId="68AF313E"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6649BE5D" w14:textId="77777777" w:rsidTr="00731E38">
        <w:trPr>
          <w:trHeight w:val="405"/>
        </w:trPr>
        <w:tc>
          <w:tcPr>
            <w:tcW w:w="160" w:type="dxa"/>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89" w:type="dxa"/>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46" w:type="dxa"/>
            <w:shd w:val="clear" w:color="auto" w:fill="auto"/>
            <w:hideMark/>
          </w:tcPr>
          <w:p w14:paraId="6578CC7D" w14:textId="77777777" w:rsidR="00FF6B5A" w:rsidRPr="00CB01FF" w:rsidRDefault="00FF6B5A" w:rsidP="00FF6B5A">
            <w:pPr>
              <w:spacing w:after="0" w:line="240" w:lineRule="auto"/>
              <w:rPr>
                <w:rFonts w:eastAsia="Times New Roman" w:cstheme="minorHAnsi"/>
                <w:lang w:eastAsia="sk-SK"/>
              </w:rPr>
            </w:pPr>
          </w:p>
        </w:tc>
      </w:tr>
      <w:tr w:rsidR="00FF6B5A" w:rsidRPr="00FF6B5A" w14:paraId="0D462BED" w14:textId="77777777" w:rsidTr="00731E38">
        <w:trPr>
          <w:trHeight w:val="510"/>
        </w:trPr>
        <w:tc>
          <w:tcPr>
            <w:tcW w:w="160" w:type="dxa"/>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611" w:type="dxa"/>
            <w:gridSpan w:val="2"/>
            <w:shd w:val="clear" w:color="auto" w:fill="D9E1F2"/>
            <w:vAlign w:val="center"/>
            <w:hideMark/>
          </w:tcPr>
          <w:p w14:paraId="71E1D349" w14:textId="77777777" w:rsidR="00FF6B5A" w:rsidRPr="00FF6B5A" w:rsidRDefault="007E4659"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7146" w:type="dxa"/>
            <w:shd w:val="clear" w:color="auto" w:fill="auto"/>
            <w:hideMark/>
          </w:tcPr>
          <w:p w14:paraId="7F7381C4" w14:textId="673E88FD"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0C473D" w:rsidRPr="00CB01FF">
              <w:rPr>
                <w:rFonts w:eastAsia="Times New Roman" w:cstheme="minorHAnsi"/>
                <w:color w:val="000000"/>
                <w:lang w:eastAsia="sk-SK"/>
              </w:rPr>
              <w:t>Eliáš</w:t>
            </w:r>
          </w:p>
        </w:tc>
      </w:tr>
      <w:tr w:rsidR="00FF6B5A" w:rsidRPr="00FF6B5A" w14:paraId="0B0CB2B5" w14:textId="77777777" w:rsidTr="00731E38">
        <w:trPr>
          <w:trHeight w:val="315"/>
        </w:trPr>
        <w:tc>
          <w:tcPr>
            <w:tcW w:w="160" w:type="dxa"/>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71AAA274" w14:textId="77777777" w:rsidR="00FF6B5A" w:rsidRPr="00FF6B5A" w:rsidRDefault="007E465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146" w:type="dxa"/>
            <w:shd w:val="clear" w:color="auto" w:fill="auto"/>
            <w:hideMark/>
          </w:tcPr>
          <w:p w14:paraId="3A2726EA" w14:textId="3AA79AC8"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0C473D" w:rsidRPr="00CB01FF">
              <w:rPr>
                <w:rFonts w:eastAsia="Times New Roman" w:cstheme="minorHAnsi"/>
                <w:color w:val="000000"/>
                <w:lang w:eastAsia="sk-SK"/>
              </w:rPr>
              <w:t>Karel</w:t>
            </w:r>
          </w:p>
        </w:tc>
      </w:tr>
      <w:tr w:rsidR="00FF6B5A" w:rsidRPr="00FF6B5A" w14:paraId="04319611" w14:textId="77777777" w:rsidTr="00731E38">
        <w:trPr>
          <w:trHeight w:val="510"/>
        </w:trPr>
        <w:tc>
          <w:tcPr>
            <w:tcW w:w="160" w:type="dxa"/>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3BA2F938" w14:textId="77777777" w:rsidR="00FF6B5A" w:rsidRPr="00FF6B5A" w:rsidRDefault="007E4659"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146" w:type="dxa"/>
            <w:shd w:val="clear" w:color="auto" w:fill="auto"/>
            <w:hideMark/>
          </w:tcPr>
          <w:p w14:paraId="763FAF36" w14:textId="43D2F465" w:rsidR="00FF6B5A" w:rsidRPr="00CB01FF" w:rsidRDefault="000C473D"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xml:space="preserve">Prof. Dr. </w:t>
            </w:r>
          </w:p>
        </w:tc>
      </w:tr>
      <w:tr w:rsidR="00FF6B5A" w:rsidRPr="00FF6B5A" w14:paraId="56709914" w14:textId="77777777" w:rsidTr="00731E38">
        <w:trPr>
          <w:trHeight w:val="660"/>
        </w:trPr>
        <w:tc>
          <w:tcPr>
            <w:tcW w:w="160" w:type="dxa"/>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0673E1CA" w14:textId="77777777" w:rsidR="00FF6B5A" w:rsidRPr="00FF6B5A" w:rsidRDefault="007E4659"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7146" w:type="dxa"/>
            <w:shd w:val="clear" w:color="auto" w:fill="auto"/>
            <w:hideMark/>
          </w:tcPr>
          <w:p w14:paraId="0B7CAEFF" w14:textId="360A1CF7" w:rsidR="000C473D" w:rsidRPr="00CB01FF" w:rsidRDefault="000C473D" w:rsidP="000C473D">
            <w:pPr>
              <w:spacing w:after="0" w:line="240" w:lineRule="auto"/>
              <w:rPr>
                <w:rFonts w:eastAsia="Times New Roman" w:cstheme="minorHAnsi"/>
                <w:iCs/>
                <w:color w:val="000000"/>
                <w:lang w:eastAsia="sk-SK"/>
              </w:rPr>
            </w:pPr>
            <w:r w:rsidRPr="00CB01FF">
              <w:rPr>
                <w:rFonts w:cstheme="minorHAnsi"/>
              </w:rPr>
              <w:t>https://www.portalvs.sk/regzam/detail/27260</w:t>
            </w:r>
          </w:p>
          <w:p w14:paraId="26A9AD78" w14:textId="4952171F" w:rsidR="00FF6B5A" w:rsidRPr="00CB01FF" w:rsidRDefault="00FF6B5A" w:rsidP="00FF6B5A">
            <w:pPr>
              <w:spacing w:after="0" w:line="240" w:lineRule="auto"/>
              <w:rPr>
                <w:rFonts w:eastAsia="Times New Roman" w:cstheme="minorHAnsi"/>
                <w:color w:val="000000"/>
                <w:lang w:eastAsia="sk-SK"/>
              </w:rPr>
            </w:pPr>
          </w:p>
        </w:tc>
      </w:tr>
      <w:tr w:rsidR="00FF6B5A" w:rsidRPr="00FF6B5A" w14:paraId="14D19C3C" w14:textId="77777777" w:rsidTr="00731E38">
        <w:trPr>
          <w:trHeight w:val="300"/>
        </w:trPr>
        <w:tc>
          <w:tcPr>
            <w:tcW w:w="160" w:type="dxa"/>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7082922F" w14:textId="77777777" w:rsidR="00FF6B5A" w:rsidRPr="00FF6B5A" w:rsidRDefault="007E4659"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7146" w:type="dxa"/>
            <w:shd w:val="clear" w:color="auto" w:fill="auto"/>
            <w:hideMark/>
          </w:tcPr>
          <w:p w14:paraId="5C2F11FA" w14:textId="68F19959" w:rsidR="00FF6B5A" w:rsidRPr="00CB01FF" w:rsidRDefault="00FF6B5A" w:rsidP="00422600">
            <w:pPr>
              <w:spacing w:after="0" w:line="240" w:lineRule="auto"/>
              <w:rPr>
                <w:rFonts w:eastAsia="Times New Roman" w:cstheme="minorHAnsi"/>
                <w:color w:val="000000"/>
                <w:lang w:eastAsia="sk-SK"/>
              </w:rPr>
            </w:pPr>
            <w:r w:rsidRPr="00CB01FF">
              <w:rPr>
                <w:rFonts w:eastAsia="Times New Roman" w:cstheme="minorHAnsi"/>
                <w:lang w:eastAsia="sk-SK"/>
              </w:rPr>
              <w:t> </w:t>
            </w:r>
            <w:r w:rsidR="00731E38" w:rsidRPr="001754C9">
              <w:rPr>
                <w:rFonts w:eastAsia="Times New Roman" w:cstheme="minorHAnsi"/>
                <w:lang w:eastAsia="sk-SK"/>
              </w:rPr>
              <w:t xml:space="preserve">Študijný program Občianske právo, 3. stupeň / </w:t>
            </w:r>
            <w:proofErr w:type="spellStart"/>
            <w:r w:rsidR="00731E38" w:rsidRPr="001754C9">
              <w:rPr>
                <w:rFonts w:eastAsia="Times New Roman" w:cstheme="minorHAnsi"/>
                <w:lang w:eastAsia="sk-SK"/>
              </w:rPr>
              <w:t>Third</w:t>
            </w:r>
            <w:proofErr w:type="spellEnd"/>
            <w:r w:rsidR="00731E38" w:rsidRPr="001754C9">
              <w:rPr>
                <w:rFonts w:eastAsia="Times New Roman" w:cstheme="minorHAnsi"/>
                <w:lang w:eastAsia="sk-SK"/>
              </w:rPr>
              <w:t xml:space="preserve"> </w:t>
            </w:r>
            <w:proofErr w:type="spellStart"/>
            <w:r w:rsidR="00731E38" w:rsidRPr="001754C9">
              <w:rPr>
                <w:rFonts w:eastAsia="Times New Roman" w:cstheme="minorHAnsi"/>
                <w:lang w:eastAsia="sk-SK"/>
              </w:rPr>
              <w:t>degree</w:t>
            </w:r>
            <w:proofErr w:type="spellEnd"/>
            <w:r w:rsidR="00731E38" w:rsidRPr="001754C9">
              <w:rPr>
                <w:rFonts w:eastAsia="Times New Roman" w:cstheme="minorHAnsi"/>
                <w:lang w:eastAsia="sk-SK"/>
              </w:rPr>
              <w:t xml:space="preserve"> study programe "Civil </w:t>
            </w:r>
            <w:proofErr w:type="spellStart"/>
            <w:r w:rsidR="00731E38" w:rsidRPr="001754C9">
              <w:rPr>
                <w:rFonts w:eastAsia="Times New Roman" w:cstheme="minorHAnsi"/>
                <w:lang w:eastAsia="sk-SK"/>
              </w:rPr>
              <w:t>law</w:t>
            </w:r>
            <w:proofErr w:type="spellEnd"/>
            <w:r w:rsidR="00731E38" w:rsidRPr="001754C9">
              <w:rPr>
                <w:rFonts w:eastAsia="Times New Roman" w:cstheme="minorHAnsi"/>
                <w:lang w:eastAsia="sk-SK"/>
              </w:rPr>
              <w:t xml:space="preserve">" / Odbor habilitačného a inauguračného konania  "Občianske právo" / </w:t>
            </w:r>
            <w:proofErr w:type="spellStart"/>
            <w:r w:rsidR="00731E38" w:rsidRPr="001754C9">
              <w:rPr>
                <w:rFonts w:eastAsia="Times New Roman" w:cstheme="minorHAnsi"/>
                <w:lang w:eastAsia="sk-SK"/>
              </w:rPr>
              <w:t>The</w:t>
            </w:r>
            <w:proofErr w:type="spellEnd"/>
            <w:r w:rsidR="00731E38" w:rsidRPr="001754C9">
              <w:rPr>
                <w:rFonts w:eastAsia="Times New Roman" w:cstheme="minorHAnsi"/>
                <w:lang w:eastAsia="sk-SK"/>
              </w:rPr>
              <w:t xml:space="preserve"> </w:t>
            </w:r>
            <w:proofErr w:type="spellStart"/>
            <w:r w:rsidR="00731E38" w:rsidRPr="001754C9">
              <w:rPr>
                <w:rFonts w:eastAsia="Times New Roman" w:cstheme="minorHAnsi"/>
                <w:lang w:eastAsia="sk-SK"/>
              </w:rPr>
              <w:t>field</w:t>
            </w:r>
            <w:proofErr w:type="spellEnd"/>
            <w:r w:rsidR="00731E38" w:rsidRPr="001754C9">
              <w:rPr>
                <w:rFonts w:eastAsia="Times New Roman" w:cstheme="minorHAnsi"/>
                <w:lang w:eastAsia="sk-SK"/>
              </w:rPr>
              <w:t xml:space="preserve"> of </w:t>
            </w:r>
            <w:proofErr w:type="spellStart"/>
            <w:r w:rsidR="00731E38" w:rsidRPr="001754C9">
              <w:rPr>
                <w:rFonts w:eastAsia="Times New Roman" w:cstheme="minorHAnsi"/>
                <w:lang w:eastAsia="sk-SK"/>
              </w:rPr>
              <w:t>the</w:t>
            </w:r>
            <w:proofErr w:type="spellEnd"/>
            <w:r w:rsidR="00731E38" w:rsidRPr="001754C9">
              <w:rPr>
                <w:rFonts w:eastAsia="Times New Roman" w:cstheme="minorHAnsi"/>
                <w:lang w:eastAsia="sk-SK"/>
              </w:rPr>
              <w:t xml:space="preserve"> </w:t>
            </w:r>
            <w:proofErr w:type="spellStart"/>
            <w:r w:rsidR="00731E38" w:rsidRPr="001754C9">
              <w:rPr>
                <w:rFonts w:eastAsia="Times New Roman" w:cstheme="minorHAnsi"/>
                <w:lang w:eastAsia="sk-SK"/>
              </w:rPr>
              <w:t>habilitation</w:t>
            </w:r>
            <w:proofErr w:type="spellEnd"/>
            <w:r w:rsidR="00731E38" w:rsidRPr="001754C9">
              <w:rPr>
                <w:rFonts w:eastAsia="Times New Roman" w:cstheme="minorHAnsi"/>
                <w:lang w:eastAsia="sk-SK"/>
              </w:rPr>
              <w:t xml:space="preserve"> </w:t>
            </w:r>
            <w:proofErr w:type="spellStart"/>
            <w:r w:rsidR="00731E38" w:rsidRPr="001754C9">
              <w:rPr>
                <w:rFonts w:eastAsia="Times New Roman" w:cstheme="minorHAnsi"/>
                <w:lang w:eastAsia="sk-SK"/>
              </w:rPr>
              <w:t>procedure</w:t>
            </w:r>
            <w:proofErr w:type="spellEnd"/>
            <w:r w:rsidR="00731E38" w:rsidRPr="001754C9">
              <w:rPr>
                <w:rFonts w:eastAsia="Times New Roman" w:cstheme="minorHAnsi"/>
                <w:lang w:eastAsia="sk-SK"/>
              </w:rPr>
              <w:t xml:space="preserve"> and </w:t>
            </w:r>
            <w:proofErr w:type="spellStart"/>
            <w:r w:rsidR="00731E38" w:rsidRPr="001754C9">
              <w:rPr>
                <w:rFonts w:eastAsia="Times New Roman" w:cstheme="minorHAnsi"/>
                <w:lang w:eastAsia="sk-SK"/>
              </w:rPr>
              <w:t>inaugural</w:t>
            </w:r>
            <w:proofErr w:type="spellEnd"/>
            <w:r w:rsidR="00731E38" w:rsidRPr="001754C9">
              <w:rPr>
                <w:rFonts w:eastAsia="Times New Roman" w:cstheme="minorHAnsi"/>
                <w:lang w:eastAsia="sk-SK"/>
              </w:rPr>
              <w:t xml:space="preserve"> </w:t>
            </w:r>
            <w:proofErr w:type="spellStart"/>
            <w:r w:rsidR="00731E38" w:rsidRPr="001754C9">
              <w:rPr>
                <w:rFonts w:eastAsia="Times New Roman" w:cstheme="minorHAnsi"/>
                <w:lang w:eastAsia="sk-SK"/>
              </w:rPr>
              <w:t>procedure</w:t>
            </w:r>
            <w:proofErr w:type="spellEnd"/>
            <w:r w:rsidR="00731E38" w:rsidRPr="001754C9">
              <w:rPr>
                <w:rFonts w:eastAsia="Times New Roman" w:cstheme="minorHAnsi"/>
                <w:lang w:eastAsia="sk-SK"/>
              </w:rPr>
              <w:t xml:space="preserve">: "Civil </w:t>
            </w:r>
            <w:proofErr w:type="spellStart"/>
            <w:r w:rsidR="00731E38" w:rsidRPr="001754C9">
              <w:rPr>
                <w:rFonts w:eastAsia="Times New Roman" w:cstheme="minorHAnsi"/>
                <w:lang w:eastAsia="sk-SK"/>
              </w:rPr>
              <w:t>Law</w:t>
            </w:r>
            <w:proofErr w:type="spellEnd"/>
            <w:r w:rsidR="00731E38" w:rsidRPr="001754C9">
              <w:rPr>
                <w:rFonts w:eastAsia="Times New Roman" w:cstheme="minorHAnsi"/>
                <w:lang w:eastAsia="sk-SK"/>
              </w:rPr>
              <w:t>"</w:t>
            </w:r>
          </w:p>
        </w:tc>
      </w:tr>
      <w:tr w:rsidR="008E2108" w:rsidRPr="00FF6B5A" w14:paraId="5AE22338" w14:textId="77777777" w:rsidTr="00731E38">
        <w:trPr>
          <w:trHeight w:val="300"/>
        </w:trPr>
        <w:tc>
          <w:tcPr>
            <w:tcW w:w="160" w:type="dxa"/>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5DCE4" w:themeFill="text2" w:themeFillTint="33"/>
            <w:vAlign w:val="center"/>
          </w:tcPr>
          <w:p w14:paraId="2665BEF5" w14:textId="094C455D" w:rsidR="008E2108" w:rsidRDefault="05CD50B2" w:rsidP="48452B70">
            <w:pPr>
              <w:spacing w:after="0" w:line="240" w:lineRule="auto"/>
              <w:rPr>
                <w:rFonts w:ascii="Calibri" w:eastAsia="Calibri" w:hAnsi="Calibri" w:cs="Calibri"/>
              </w:rPr>
            </w:pPr>
            <w:r w:rsidRPr="48452B70">
              <w:rPr>
                <w:rFonts w:ascii="Calibri" w:eastAsia="Calibri" w:hAnsi="Calibri" w:cs="Calibri"/>
              </w:rPr>
              <w:t>Zaradenie (PF TU)</w:t>
            </w:r>
          </w:p>
        </w:tc>
        <w:tc>
          <w:tcPr>
            <w:tcW w:w="7146" w:type="dxa"/>
            <w:shd w:val="clear" w:color="auto" w:fill="auto"/>
          </w:tcPr>
          <w:p w14:paraId="285B8AA2" w14:textId="37DF2978" w:rsidR="008E2108" w:rsidRPr="00CB01FF" w:rsidRDefault="00CE5D14"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A+</w:t>
            </w:r>
          </w:p>
        </w:tc>
      </w:tr>
      <w:tr w:rsidR="00FF6B5A" w:rsidRPr="00FF6B5A" w14:paraId="2755EA2A" w14:textId="77777777" w:rsidTr="00731E38">
        <w:trPr>
          <w:trHeight w:val="660"/>
        </w:trPr>
        <w:tc>
          <w:tcPr>
            <w:tcW w:w="160" w:type="dxa"/>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0840DCC6" w14:textId="77777777" w:rsidR="00FF6B5A" w:rsidRDefault="007E4659"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lastRenderedPageBreak/>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7146" w:type="dxa"/>
            <w:shd w:val="clear" w:color="auto" w:fill="auto"/>
            <w:hideMark/>
          </w:tcPr>
          <w:p w14:paraId="42A0A139" w14:textId="742BCB01" w:rsidR="00FF6B5A" w:rsidRPr="00CB01FF" w:rsidRDefault="00FF6B5A" w:rsidP="00FF6B5A">
            <w:pPr>
              <w:spacing w:after="0" w:line="240" w:lineRule="auto"/>
              <w:rPr>
                <w:rFonts w:eastAsia="Times New Roman" w:cstheme="minorHAnsi"/>
                <w:iCs/>
                <w:color w:val="00B0F0"/>
                <w:lang w:eastAsia="sk-SK"/>
              </w:rPr>
            </w:pPr>
            <w:r w:rsidRPr="00CB01FF">
              <w:rPr>
                <w:rFonts w:eastAsia="Times New Roman" w:cstheme="minorHAnsi"/>
                <w:i/>
                <w:iCs/>
                <w:lang w:eastAsia="sk-SK"/>
              </w:rPr>
              <w:lastRenderedPageBreak/>
              <w:t> </w:t>
            </w:r>
            <w:r w:rsidR="00942518" w:rsidRPr="00CB01FF">
              <w:rPr>
                <w:rFonts w:eastAsia="Times New Roman" w:cstheme="minorHAnsi"/>
                <w:b/>
                <w:color w:val="000000"/>
                <w:lang w:eastAsia="sk-SK"/>
              </w:rPr>
              <w:t>vedecký výstup</w:t>
            </w:r>
            <w:r w:rsidR="00942518" w:rsidRPr="00CB01FF">
              <w:rPr>
                <w:rFonts w:eastAsia="Times New Roman" w:cstheme="minorHAnsi"/>
                <w:color w:val="000000"/>
                <w:lang w:eastAsia="sk-SK"/>
              </w:rPr>
              <w:t xml:space="preserve"> / </w:t>
            </w:r>
            <w:proofErr w:type="spellStart"/>
            <w:r w:rsidR="00942518" w:rsidRPr="00CB01FF">
              <w:rPr>
                <w:rFonts w:eastAsia="Times New Roman" w:cstheme="minorHAnsi"/>
                <w:color w:val="000000"/>
                <w:lang w:eastAsia="sk-SK"/>
              </w:rPr>
              <w:t>scientific</w:t>
            </w:r>
            <w:proofErr w:type="spellEnd"/>
            <w:r w:rsidR="00942518" w:rsidRPr="00CB01FF">
              <w:rPr>
                <w:rFonts w:eastAsia="Times New Roman" w:cstheme="minorHAnsi"/>
                <w:color w:val="000000"/>
                <w:lang w:eastAsia="sk-SK"/>
              </w:rPr>
              <w:t xml:space="preserve"> output</w:t>
            </w:r>
          </w:p>
        </w:tc>
      </w:tr>
      <w:tr w:rsidR="00FF6B5A" w:rsidRPr="00FF6B5A" w14:paraId="5CF1856E" w14:textId="77777777" w:rsidTr="00731E38">
        <w:trPr>
          <w:trHeight w:val="510"/>
        </w:trPr>
        <w:tc>
          <w:tcPr>
            <w:tcW w:w="160" w:type="dxa"/>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2611" w:type="dxa"/>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7146" w:type="dxa"/>
            <w:shd w:val="clear" w:color="auto" w:fill="auto"/>
            <w:hideMark/>
          </w:tcPr>
          <w:p w14:paraId="24BC0AA8" w14:textId="2165DAA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CE5D14" w:rsidRPr="00CB01FF">
              <w:rPr>
                <w:rFonts w:eastAsia="Times New Roman" w:cstheme="minorHAnsi"/>
                <w:color w:val="000000"/>
                <w:lang w:eastAsia="sk-SK"/>
              </w:rPr>
              <w:t>20</w:t>
            </w:r>
            <w:r w:rsidR="00F40F87" w:rsidRPr="00CB01FF">
              <w:rPr>
                <w:rFonts w:eastAsia="Times New Roman" w:cstheme="minorHAnsi"/>
                <w:color w:val="000000"/>
                <w:lang w:eastAsia="sk-SK"/>
              </w:rPr>
              <w:t>01</w:t>
            </w:r>
          </w:p>
        </w:tc>
      </w:tr>
      <w:tr w:rsidR="00FF6B5A" w:rsidRPr="00FF6B5A" w14:paraId="70C2F838" w14:textId="77777777" w:rsidTr="00731E38">
        <w:trPr>
          <w:trHeight w:val="660"/>
        </w:trPr>
        <w:tc>
          <w:tcPr>
            <w:tcW w:w="160" w:type="dxa"/>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528620AE" w14:textId="77777777" w:rsidR="00FF6B5A" w:rsidRPr="00FF6B5A" w:rsidRDefault="007E465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7146" w:type="dxa"/>
            <w:shd w:val="clear" w:color="auto" w:fill="auto"/>
            <w:hideMark/>
          </w:tcPr>
          <w:p w14:paraId="5317A47D" w14:textId="77777777" w:rsidR="00B34BB1" w:rsidRPr="00C76121" w:rsidRDefault="00B34BB1" w:rsidP="00B34BB1">
            <w:pPr>
              <w:spacing w:after="0" w:line="240" w:lineRule="auto"/>
              <w:rPr>
                <w:rFonts w:eastAsia="Times New Roman" w:cstheme="minorHAnsi"/>
                <w:lang w:eastAsia="sk-SK"/>
              </w:rPr>
            </w:pPr>
            <w:r w:rsidRPr="00C76121">
              <w:rPr>
                <w:rFonts w:eastAsia="Times New Roman" w:cstheme="minorHAnsi"/>
                <w:lang w:eastAsia="sk-SK"/>
              </w:rPr>
              <w:t>ID: 64789 | </w:t>
            </w:r>
            <w:proofErr w:type="spellStart"/>
            <w:r w:rsidRPr="00C76121">
              <w:rPr>
                <w:rFonts w:eastAsia="Times New Roman" w:cstheme="minorHAnsi"/>
                <w:lang w:eastAsia="sk-SK"/>
              </w:rPr>
              <w:t>Principy</w:t>
            </w:r>
            <w:proofErr w:type="spellEnd"/>
            <w:r w:rsidRPr="00C76121">
              <w:rPr>
                <w:rFonts w:eastAsia="Times New Roman" w:cstheme="minorHAnsi"/>
                <w:lang w:eastAsia="sk-SK"/>
              </w:rPr>
              <w:t xml:space="preserve"> a východiska nového </w:t>
            </w:r>
            <w:proofErr w:type="spellStart"/>
            <w:r w:rsidRPr="00C76121">
              <w:rPr>
                <w:rFonts w:eastAsia="Times New Roman" w:cstheme="minorHAnsi"/>
                <w:lang w:eastAsia="sk-SK"/>
              </w:rPr>
              <w:t>kodexu</w:t>
            </w:r>
            <w:proofErr w:type="spellEnd"/>
            <w:r w:rsidRPr="00C76121">
              <w:rPr>
                <w:rFonts w:eastAsia="Times New Roman" w:cstheme="minorHAnsi"/>
                <w:lang w:eastAsia="sk-SK"/>
              </w:rPr>
              <w:t xml:space="preserve"> </w:t>
            </w:r>
            <w:proofErr w:type="spellStart"/>
            <w:r w:rsidRPr="00C76121">
              <w:rPr>
                <w:rFonts w:eastAsia="Times New Roman" w:cstheme="minorHAnsi"/>
                <w:lang w:eastAsia="sk-SK"/>
              </w:rPr>
              <w:t>soukromého</w:t>
            </w:r>
            <w:proofErr w:type="spellEnd"/>
            <w:r w:rsidRPr="00C76121">
              <w:rPr>
                <w:rFonts w:eastAsia="Times New Roman" w:cstheme="minorHAnsi"/>
                <w:lang w:eastAsia="sk-SK"/>
              </w:rPr>
              <w:t xml:space="preserve"> práva [textový dokument (</w:t>
            </w:r>
            <w:proofErr w:type="spellStart"/>
            <w:r w:rsidRPr="00C76121">
              <w:rPr>
                <w:rFonts w:eastAsia="Times New Roman" w:cstheme="minorHAnsi"/>
                <w:lang w:eastAsia="sk-SK"/>
              </w:rPr>
              <w:t>print</w:t>
            </w:r>
            <w:proofErr w:type="spellEnd"/>
            <w:r w:rsidRPr="00C76121">
              <w:rPr>
                <w:rFonts w:eastAsia="Times New Roman" w:cstheme="minorHAnsi"/>
                <w:lang w:eastAsia="sk-SK"/>
              </w:rPr>
              <w:t xml:space="preserve">)] / Eliáš, Karel [Autor, 80%] ; </w:t>
            </w:r>
            <w:proofErr w:type="spellStart"/>
            <w:r w:rsidRPr="00C76121">
              <w:rPr>
                <w:rFonts w:eastAsia="Times New Roman" w:cstheme="minorHAnsi"/>
                <w:lang w:eastAsia="sk-SK"/>
              </w:rPr>
              <w:t>Zuklínová</w:t>
            </w:r>
            <w:proofErr w:type="spellEnd"/>
            <w:r w:rsidRPr="00C76121">
              <w:rPr>
                <w:rFonts w:eastAsia="Times New Roman" w:cstheme="minorHAnsi"/>
                <w:lang w:eastAsia="sk-SK"/>
              </w:rPr>
              <w:t>, Michaela [Autor, 20%]. – 1. vyd. – Praha (Česko) : Linde, 2001. – 302 s. [tlačená forma]. – ISBN 80-7201-303-3</w:t>
            </w:r>
          </w:p>
          <w:p w14:paraId="7EA0900B" w14:textId="6C033BBD" w:rsidR="00422600" w:rsidRPr="00CB01FF" w:rsidRDefault="00422600" w:rsidP="00EA434E">
            <w:pPr>
              <w:rPr>
                <w:rFonts w:eastAsia="Times New Roman" w:cstheme="minorHAnsi"/>
                <w:color w:val="000000"/>
                <w:lang w:eastAsia="sk-SK"/>
              </w:rPr>
            </w:pPr>
          </w:p>
        </w:tc>
      </w:tr>
      <w:tr w:rsidR="00FF6B5A" w:rsidRPr="00FF6B5A" w14:paraId="7043AB98" w14:textId="77777777" w:rsidTr="00731E38">
        <w:trPr>
          <w:trHeight w:val="525"/>
        </w:trPr>
        <w:tc>
          <w:tcPr>
            <w:tcW w:w="160" w:type="dxa"/>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1F2B6CC9" w14:textId="77777777" w:rsidR="00FF6B5A" w:rsidRPr="00FF6B5A" w:rsidRDefault="007E465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7146" w:type="dxa"/>
            <w:shd w:val="clear" w:color="auto" w:fill="auto"/>
            <w:hideMark/>
          </w:tcPr>
          <w:p w14:paraId="5FF90BB9" w14:textId="3B05B41D" w:rsidR="00FF6B5A" w:rsidRPr="00CB01FF" w:rsidRDefault="00F40F87" w:rsidP="00FE27EC">
            <w:pPr>
              <w:spacing w:after="0" w:line="240" w:lineRule="auto"/>
              <w:rPr>
                <w:rFonts w:eastAsia="Times New Roman" w:cstheme="minorHAnsi"/>
                <w:color w:val="000000"/>
                <w:lang w:eastAsia="sk-SK"/>
              </w:rPr>
            </w:pPr>
            <w:r w:rsidRPr="00CB01FF">
              <w:rPr>
                <w:rFonts w:eastAsia="Times New Roman" w:cstheme="minorHAnsi"/>
                <w:color w:val="000000"/>
                <w:lang w:eastAsia="sk-SK"/>
              </w:rPr>
              <w:t>https://app.crepc.sk/?fn=detailBiblioForm&amp;sid=23C75E21724424B1752A367A</w:t>
            </w:r>
          </w:p>
        </w:tc>
      </w:tr>
      <w:tr w:rsidR="00C86832" w:rsidRPr="00FF6B5A" w14:paraId="21498929" w14:textId="77777777" w:rsidTr="00731E38">
        <w:trPr>
          <w:trHeight w:val="525"/>
        </w:trPr>
        <w:tc>
          <w:tcPr>
            <w:tcW w:w="160" w:type="dxa"/>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tcPr>
          <w:p w14:paraId="74742115" w14:textId="77777777" w:rsidR="00C86832" w:rsidRDefault="00C86832" w:rsidP="00532FE9">
            <w:pPr>
              <w:spacing w:after="0" w:line="240" w:lineRule="auto"/>
            </w:pPr>
          </w:p>
        </w:tc>
        <w:tc>
          <w:tcPr>
            <w:tcW w:w="7146" w:type="dxa"/>
            <w:shd w:val="clear" w:color="auto" w:fill="auto"/>
          </w:tcPr>
          <w:p w14:paraId="26262AED" w14:textId="77777777" w:rsidR="00C86832" w:rsidRPr="00CB01FF" w:rsidRDefault="00C86832" w:rsidP="00FE27EC">
            <w:pPr>
              <w:spacing w:after="0" w:line="240" w:lineRule="auto"/>
              <w:rPr>
                <w:rFonts w:eastAsia="Times New Roman" w:cstheme="minorHAnsi"/>
                <w:color w:val="000000"/>
                <w:lang w:eastAsia="sk-SK"/>
              </w:rPr>
            </w:pPr>
          </w:p>
        </w:tc>
      </w:tr>
      <w:tr w:rsidR="00FF6B5A" w:rsidRPr="00FF6B5A" w14:paraId="6BA9D2A2" w14:textId="77777777" w:rsidTr="00731E38">
        <w:trPr>
          <w:trHeight w:val="1065"/>
        </w:trPr>
        <w:tc>
          <w:tcPr>
            <w:tcW w:w="160" w:type="dxa"/>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2189" w:type="dxa"/>
            <w:shd w:val="clear" w:color="auto" w:fill="D9E1F2"/>
            <w:vAlign w:val="center"/>
            <w:hideMark/>
          </w:tcPr>
          <w:p w14:paraId="29C19DA6" w14:textId="77777777" w:rsidR="00FF6B5A" w:rsidRPr="00FF6B5A" w:rsidRDefault="007E4659"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7146" w:type="dxa"/>
            <w:shd w:val="clear" w:color="auto" w:fill="auto"/>
            <w:hideMark/>
          </w:tcPr>
          <w:p w14:paraId="03C9B177"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51BFBC80" w14:textId="77777777" w:rsidTr="00731E38">
        <w:trPr>
          <w:trHeight w:val="1515"/>
        </w:trPr>
        <w:tc>
          <w:tcPr>
            <w:tcW w:w="160" w:type="dxa"/>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89" w:type="dxa"/>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lastRenderedPageBreak/>
              <w:t xml:space="preserve">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7146" w:type="dxa"/>
            <w:shd w:val="clear" w:color="auto" w:fill="auto"/>
            <w:hideMark/>
          </w:tcPr>
          <w:p w14:paraId="429E661A" w14:textId="0E8964E9" w:rsidR="00FF6B5A" w:rsidRPr="00CB01FF" w:rsidRDefault="00FF6B5A" w:rsidP="00B34BB1">
            <w:pPr>
              <w:spacing w:after="0" w:line="240" w:lineRule="auto"/>
              <w:rPr>
                <w:rFonts w:eastAsia="Times New Roman" w:cstheme="minorHAnsi"/>
                <w:color w:val="000000"/>
                <w:lang w:eastAsia="sk-SK"/>
              </w:rPr>
            </w:pPr>
          </w:p>
        </w:tc>
      </w:tr>
      <w:tr w:rsidR="00FF6B5A" w:rsidRPr="00FF6B5A" w14:paraId="1DD2128C" w14:textId="77777777" w:rsidTr="00731E38">
        <w:trPr>
          <w:trHeight w:val="1290"/>
        </w:trPr>
        <w:tc>
          <w:tcPr>
            <w:tcW w:w="160" w:type="dxa"/>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89" w:type="dxa"/>
            <w:shd w:val="clear" w:color="auto" w:fill="D9E1F2"/>
            <w:vAlign w:val="center"/>
            <w:hideMark/>
          </w:tcPr>
          <w:p w14:paraId="03B2189C" w14:textId="77777777" w:rsidR="00FF6B5A" w:rsidRPr="00CB01FF" w:rsidRDefault="007E4659" w:rsidP="00087B3E">
            <w:pPr>
              <w:spacing w:after="0" w:line="240" w:lineRule="auto"/>
              <w:rPr>
                <w:rFonts w:ascii="Calibri" w:eastAsia="Times New Roman" w:hAnsi="Calibri" w:cs="Times New Roman"/>
                <w:lang w:eastAsia="sk-SK"/>
              </w:rPr>
            </w:pPr>
            <w:hyperlink r:id="rId21" w:anchor="Expl.OCA12!A1" w:history="1">
              <w:r w:rsidR="00FF6B5A" w:rsidRPr="00CB01FF">
                <w:rPr>
                  <w:rFonts w:ascii="Calibri" w:eastAsia="Times New Roman" w:hAnsi="Calibri" w:cs="Times New Roman"/>
                  <w:lang w:eastAsia="sk-SK"/>
                </w:rPr>
                <w:t xml:space="preserve">OCA12. Typ výstupu (ak nie je výstup registrovaný v CREPČ alebo CREUČ) / Type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if</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is</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not</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registered</w:t>
              </w:r>
              <w:proofErr w:type="spellEnd"/>
              <w:r w:rsidR="00FF6B5A" w:rsidRPr="00CB01FF">
                <w:rPr>
                  <w:rFonts w:ascii="Calibri" w:eastAsia="Times New Roman" w:hAnsi="Calibri" w:cs="Times New Roman"/>
                  <w:lang w:eastAsia="sk-SK"/>
                </w:rPr>
                <w:t xml:space="preserve"> in CRPA or CRAA)</w:t>
              </w:r>
              <w:r w:rsidR="00FF6B5A" w:rsidRPr="00CB01FF">
                <w:rPr>
                  <w:rFonts w:ascii="Calibri" w:eastAsia="Times New Roman" w:hAnsi="Calibri" w:cs="Times New Roman"/>
                  <w:lang w:eastAsia="sk-SK"/>
                </w:rPr>
                <w:br/>
              </w:r>
            </w:hyperlink>
          </w:p>
        </w:tc>
        <w:tc>
          <w:tcPr>
            <w:tcW w:w="7146" w:type="dxa"/>
            <w:shd w:val="clear" w:color="auto" w:fill="auto"/>
            <w:hideMark/>
          </w:tcPr>
          <w:p w14:paraId="6266D3A3" w14:textId="4D0E3FBA" w:rsidR="00FF6B5A" w:rsidRPr="00CB01FF" w:rsidRDefault="00FF6B5A" w:rsidP="00FF6B5A">
            <w:pPr>
              <w:spacing w:after="0" w:line="240" w:lineRule="auto"/>
              <w:rPr>
                <w:rFonts w:eastAsia="Times New Roman" w:cstheme="minorHAnsi"/>
                <w:iCs/>
                <w:color w:val="000000"/>
                <w:lang w:eastAsia="sk-SK"/>
              </w:rPr>
            </w:pPr>
          </w:p>
        </w:tc>
      </w:tr>
      <w:tr w:rsidR="00FF6B5A" w:rsidRPr="00FF6B5A" w14:paraId="3994E767" w14:textId="77777777" w:rsidTr="00731E38">
        <w:trPr>
          <w:trHeight w:val="1110"/>
        </w:trPr>
        <w:tc>
          <w:tcPr>
            <w:tcW w:w="160" w:type="dxa"/>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422" w:type="dxa"/>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89" w:type="dxa"/>
            <w:shd w:val="clear" w:color="auto" w:fill="DAE3F3"/>
            <w:vAlign w:val="center"/>
            <w:hideMark/>
          </w:tcPr>
          <w:p w14:paraId="10F864A0"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OCA13. </w:t>
            </w:r>
            <w:proofErr w:type="spellStart"/>
            <w:r w:rsidRPr="00CB01FF">
              <w:rPr>
                <w:rFonts w:ascii="Calibri" w:eastAsia="Times New Roman" w:hAnsi="Calibri" w:cs="Times New Roman"/>
                <w:b/>
                <w:color w:val="000000"/>
                <w:lang w:eastAsia="sk-SK"/>
              </w:rPr>
              <w:t>Hyperlink</w:t>
            </w:r>
            <w:proofErr w:type="spellEnd"/>
            <w:r w:rsidRPr="00CB01FF">
              <w:rPr>
                <w:rFonts w:ascii="Calibri" w:eastAsia="Times New Roman" w:hAnsi="Calibri" w:cs="Times New Roman"/>
                <w:b/>
                <w:color w:val="000000"/>
                <w:lang w:eastAsia="sk-SK"/>
              </w:rPr>
              <w:t xml:space="preserve"> na stránku, na ktorej je výstup sprístupnený</w:t>
            </w:r>
            <w:r w:rsidRPr="00CB01FF">
              <w:rPr>
                <w:rFonts w:ascii="Calibri" w:eastAsia="Times New Roman" w:hAnsi="Calibri" w:cs="Times New Roman"/>
                <w:color w:val="000000"/>
                <w:lang w:eastAsia="sk-SK"/>
              </w:rPr>
              <w:t xml:space="preserve"> (úplný text, iná dokumentácia a podobne) / </w:t>
            </w:r>
            <w:proofErr w:type="spellStart"/>
            <w:r w:rsidRPr="00CB01FF">
              <w:rPr>
                <w:rFonts w:ascii="Calibri" w:eastAsia="Times New Roman" w:hAnsi="Calibri" w:cs="Times New Roman"/>
                <w:color w:val="000000"/>
                <w:lang w:eastAsia="sk-SK"/>
              </w:rPr>
              <w:t>Hyperlink</w:t>
            </w:r>
            <w:proofErr w:type="spellEnd"/>
            <w:r w:rsidRPr="00CB01FF">
              <w:rPr>
                <w:rFonts w:ascii="Calibri" w:eastAsia="Times New Roman" w:hAnsi="Calibri" w:cs="Times New Roman"/>
                <w:color w:val="000000"/>
                <w:lang w:eastAsia="sk-SK"/>
              </w:rPr>
              <w:t xml:space="preserve"> to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webpage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where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output </w:t>
            </w:r>
            <w:proofErr w:type="spellStart"/>
            <w:r w:rsidRPr="00CB01FF">
              <w:rPr>
                <w:rFonts w:ascii="Calibri" w:eastAsia="Times New Roman" w:hAnsi="Calibri" w:cs="Times New Roman"/>
                <w:color w:val="000000"/>
                <w:lang w:eastAsia="sk-SK"/>
              </w:rPr>
              <w:t>is</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available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full</w:t>
            </w:r>
            <w:proofErr w:type="spellEnd"/>
            <w:r w:rsidRPr="00CB01FF">
              <w:rPr>
                <w:rFonts w:ascii="Calibri" w:eastAsia="Times New Roman" w:hAnsi="Calibri" w:cs="Times New Roman"/>
                <w:color w:val="000000"/>
                <w:lang w:eastAsia="sk-SK"/>
              </w:rPr>
              <w:t xml:space="preserve"> text, </w:t>
            </w:r>
            <w:proofErr w:type="spellStart"/>
            <w:r w:rsidRPr="00CB01FF">
              <w:rPr>
                <w:rFonts w:ascii="Calibri" w:eastAsia="Times New Roman" w:hAnsi="Calibri" w:cs="Times New Roman"/>
                <w:color w:val="000000"/>
                <w:lang w:eastAsia="sk-SK"/>
              </w:rPr>
              <w:t>other</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documentation</w:t>
            </w:r>
            <w:proofErr w:type="spellEnd"/>
            <w:r w:rsidRPr="00CB01FF">
              <w:rPr>
                <w:rFonts w:ascii="Calibri" w:eastAsia="Times New Roman" w:hAnsi="Calibri" w:cs="Times New Roman"/>
                <w:color w:val="000000"/>
                <w:lang w:eastAsia="sk-SK"/>
              </w:rPr>
              <w:t>, etc.)</w:t>
            </w:r>
          </w:p>
        </w:tc>
        <w:tc>
          <w:tcPr>
            <w:tcW w:w="7146" w:type="dxa"/>
            <w:shd w:val="clear" w:color="auto" w:fill="auto"/>
            <w:hideMark/>
          </w:tcPr>
          <w:p w14:paraId="2438FED5"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49B38A92" w14:textId="77777777" w:rsidTr="00731E38">
        <w:trPr>
          <w:trHeight w:val="765"/>
        </w:trPr>
        <w:tc>
          <w:tcPr>
            <w:tcW w:w="160" w:type="dxa"/>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89" w:type="dxa"/>
            <w:shd w:val="clear" w:color="auto" w:fill="DAE3F3"/>
            <w:vAlign w:val="center"/>
            <w:hideMark/>
          </w:tcPr>
          <w:p w14:paraId="1D8472C6"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OCA14. Charakteristika autorského vkladu / </w:t>
            </w:r>
            <w:proofErr w:type="spellStart"/>
            <w:r w:rsidRPr="00CB01FF">
              <w:rPr>
                <w:rFonts w:ascii="Calibri" w:eastAsia="Times New Roman" w:hAnsi="Calibri" w:cs="Times New Roman"/>
                <w:color w:val="000000"/>
                <w:lang w:eastAsia="sk-SK"/>
              </w:rPr>
              <w:t>Characteristics</w:t>
            </w:r>
            <w:proofErr w:type="spellEnd"/>
            <w:r w:rsidRPr="00CB01FF">
              <w:rPr>
                <w:rFonts w:ascii="Calibri" w:eastAsia="Times New Roman" w:hAnsi="Calibri" w:cs="Times New Roman"/>
                <w:color w:val="000000"/>
                <w:lang w:eastAsia="sk-SK"/>
              </w:rPr>
              <w:t xml:space="preserve"> of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author's</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contribution</w:t>
            </w:r>
            <w:proofErr w:type="spellEnd"/>
          </w:p>
        </w:tc>
        <w:tc>
          <w:tcPr>
            <w:tcW w:w="7146" w:type="dxa"/>
            <w:shd w:val="clear" w:color="auto" w:fill="auto"/>
            <w:hideMark/>
          </w:tcPr>
          <w:p w14:paraId="7D33DD09" w14:textId="5312951E" w:rsidR="00FF6B5A" w:rsidRPr="00CB01FF" w:rsidRDefault="00FF6B5A" w:rsidP="00FF6B5A">
            <w:pPr>
              <w:spacing w:after="0" w:line="240" w:lineRule="auto"/>
              <w:rPr>
                <w:rFonts w:eastAsia="Times New Roman" w:cstheme="minorHAnsi"/>
                <w:color w:val="000000"/>
                <w:lang w:eastAsia="sk-SK"/>
              </w:rPr>
            </w:pPr>
          </w:p>
        </w:tc>
      </w:tr>
      <w:tr w:rsidR="00FF6B5A" w:rsidRPr="00FF6B5A" w14:paraId="270C6842" w14:textId="77777777" w:rsidTr="00731E38">
        <w:trPr>
          <w:trHeight w:val="2310"/>
        </w:trPr>
        <w:tc>
          <w:tcPr>
            <w:tcW w:w="160" w:type="dxa"/>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89" w:type="dxa"/>
            <w:shd w:val="clear" w:color="auto" w:fill="D9E1F2"/>
            <w:vAlign w:val="center"/>
            <w:hideMark/>
          </w:tcPr>
          <w:p w14:paraId="1740FF49" w14:textId="77777777" w:rsidR="00FF6B5A" w:rsidRPr="00CB01FF" w:rsidRDefault="007E4659" w:rsidP="00532FE9">
            <w:pPr>
              <w:spacing w:after="0" w:line="240" w:lineRule="auto"/>
              <w:rPr>
                <w:rFonts w:ascii="Calibri" w:eastAsia="Times New Roman" w:hAnsi="Calibri" w:cs="Times New Roman"/>
                <w:lang w:eastAsia="sk-SK"/>
              </w:rPr>
            </w:pPr>
            <w:hyperlink r:id="rId22" w:anchor="'poznamky_explanatory notes'!A1" w:history="1">
              <w:r w:rsidR="00FF6B5A" w:rsidRPr="00CB01FF">
                <w:rPr>
                  <w:rFonts w:ascii="Calibri" w:eastAsia="Times New Roman" w:hAnsi="Calibri" w:cs="Times New Roman"/>
                  <w:lang w:eastAsia="sk-SK"/>
                </w:rPr>
                <w:t xml:space="preserve">OCA15. </w:t>
              </w:r>
              <w:r w:rsidR="00FF6B5A" w:rsidRPr="00CB01FF">
                <w:rPr>
                  <w:rFonts w:ascii="Calibri" w:eastAsia="Times New Roman" w:hAnsi="Calibri" w:cs="Times New Roman"/>
                  <w:b/>
                  <w:lang w:eastAsia="sk-SK"/>
                </w:rPr>
                <w:t>Anotácia výstupu s kontextovými informáciami týkajúcimi sa opisu tvorivého procesu a obsahu tvorivej činnosti a pod</w:t>
              </w:r>
              <w:r w:rsidR="00FF6B5A" w:rsidRPr="00CB01FF">
                <w:rPr>
                  <w:rFonts w:ascii="Calibri" w:eastAsia="Times New Roman" w:hAnsi="Calibri" w:cs="Times New Roman"/>
                  <w:lang w:eastAsia="sk-SK"/>
                </w:rPr>
                <w:t xml:space="preserve">. / </w:t>
              </w:r>
              <w:proofErr w:type="spellStart"/>
              <w:r w:rsidR="00FF6B5A" w:rsidRPr="00CB01FF">
                <w:rPr>
                  <w:rFonts w:ascii="Calibri" w:eastAsia="Times New Roman" w:hAnsi="Calibri" w:cs="Times New Roman"/>
                  <w:lang w:eastAsia="sk-SK"/>
                </w:rPr>
                <w:t>Annotation</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with</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contextual</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information</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concerning</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description</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creative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process</w:t>
              </w:r>
              <w:proofErr w:type="spellEnd"/>
              <w:r w:rsidR="00FF6B5A" w:rsidRPr="00CB01FF">
                <w:rPr>
                  <w:rFonts w:ascii="Calibri" w:eastAsia="Times New Roman" w:hAnsi="Calibri" w:cs="Times New Roman"/>
                  <w:lang w:eastAsia="sk-SK"/>
                </w:rPr>
                <w:t xml:space="preserve"> and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content</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research</w:t>
              </w:r>
              <w:proofErr w:type="spellEnd"/>
              <w:r w:rsidR="00FF6B5A" w:rsidRPr="00CB01FF">
                <w:rPr>
                  <w:rFonts w:ascii="Calibri" w:eastAsia="Times New Roman" w:hAnsi="Calibri" w:cs="Times New Roman"/>
                  <w:lang w:eastAsia="sk-SK"/>
                </w:rPr>
                <w:t>/</w:t>
              </w:r>
              <w:proofErr w:type="spellStart"/>
              <w:r w:rsidR="00FF6B5A" w:rsidRPr="00CB01FF">
                <w:rPr>
                  <w:rFonts w:ascii="Calibri" w:eastAsia="Times New Roman" w:hAnsi="Calibri" w:cs="Times New Roman"/>
                  <w:lang w:eastAsia="sk-SK"/>
                </w:rPr>
                <w:t>artistic</w:t>
              </w:r>
              <w:proofErr w:type="spellEnd"/>
              <w:r w:rsidR="00FF6B5A" w:rsidRPr="00CB01FF">
                <w:rPr>
                  <w:rFonts w:ascii="Calibri" w:eastAsia="Times New Roman" w:hAnsi="Calibri" w:cs="Times New Roman"/>
                  <w:lang w:eastAsia="sk-SK"/>
                </w:rPr>
                <w:t>/</w:t>
              </w:r>
              <w:proofErr w:type="spellStart"/>
              <w:r w:rsidR="00FF6B5A" w:rsidRPr="00CB01FF">
                <w:rPr>
                  <w:rFonts w:ascii="Calibri" w:eastAsia="Times New Roman" w:hAnsi="Calibri" w:cs="Times New Roman"/>
                  <w:lang w:eastAsia="sk-SK"/>
                </w:rPr>
                <w:t>other</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activity</w:t>
              </w:r>
              <w:proofErr w:type="spellEnd"/>
              <w:r w:rsidR="00FF6B5A" w:rsidRPr="00CB01FF">
                <w:rPr>
                  <w:rFonts w:ascii="Calibri" w:eastAsia="Times New Roman" w:hAnsi="Calibri" w:cs="Times New Roman"/>
                  <w:lang w:eastAsia="sk-SK"/>
                </w:rPr>
                <w:t xml:space="preserve">, etc. </w:t>
              </w:r>
              <w:r w:rsidR="00532FE9" w:rsidRPr="00CB01FF">
                <w:rPr>
                  <w:rStyle w:val="Odkaznapoznmkupodiarou"/>
                  <w:rFonts w:ascii="Calibri" w:eastAsia="Times New Roman" w:hAnsi="Calibri" w:cs="Times New Roman"/>
                  <w:lang w:eastAsia="sk-SK"/>
                </w:rPr>
                <w:footnoteReference w:id="8"/>
              </w:r>
              <w:r w:rsidR="00FF6B5A" w:rsidRPr="00CB01FF">
                <w:rPr>
                  <w:rFonts w:ascii="Calibri" w:eastAsia="Times New Roman" w:hAnsi="Calibri" w:cs="Times New Roman"/>
                  <w:lang w:eastAsia="sk-SK"/>
                </w:rPr>
                <w:br w:type="page"/>
              </w:r>
              <w:r w:rsidR="00FF6B5A" w:rsidRPr="00CB01FF">
                <w:rPr>
                  <w:rFonts w:ascii="Calibri" w:eastAsia="Times New Roman" w:hAnsi="Calibri" w:cs="Times New Roman"/>
                  <w:i/>
                  <w:iCs/>
                  <w:color w:val="808080"/>
                  <w:lang w:eastAsia="sk-SK"/>
                </w:rPr>
                <w:t xml:space="preserve">Rozsah </w:t>
              </w:r>
              <w:r w:rsidR="00FF6B5A" w:rsidRPr="00CB01FF">
                <w:rPr>
                  <w:rFonts w:ascii="Calibri" w:eastAsia="Times New Roman" w:hAnsi="Calibri" w:cs="Times New Roman"/>
                  <w:i/>
                  <w:iCs/>
                  <w:color w:val="808080"/>
                  <w:lang w:eastAsia="sk-SK"/>
                </w:rPr>
                <w:lastRenderedPageBreak/>
                <w:t xml:space="preserve">do 200 slov v slovenskom jazyku / </w:t>
              </w:r>
              <w:proofErr w:type="spellStart"/>
              <w:r w:rsidR="00FF6B5A" w:rsidRPr="00CB01FF">
                <w:rPr>
                  <w:rFonts w:ascii="Calibri" w:eastAsia="Times New Roman" w:hAnsi="Calibri" w:cs="Times New Roman"/>
                  <w:i/>
                  <w:iCs/>
                  <w:color w:val="808080"/>
                  <w:lang w:eastAsia="sk-SK"/>
                </w:rPr>
                <w:t>Range</w:t>
              </w:r>
              <w:proofErr w:type="spellEnd"/>
              <w:r w:rsidR="00FF6B5A" w:rsidRPr="00CB01FF">
                <w:rPr>
                  <w:rFonts w:ascii="Calibri" w:eastAsia="Times New Roman" w:hAnsi="Calibri" w:cs="Times New Roman"/>
                  <w:i/>
                  <w:iCs/>
                  <w:color w:val="808080"/>
                  <w:lang w:eastAsia="sk-SK"/>
                </w:rPr>
                <w:t xml:space="preserve"> </w:t>
              </w:r>
              <w:proofErr w:type="spellStart"/>
              <w:r w:rsidR="00FF6B5A" w:rsidRPr="00CB01FF">
                <w:rPr>
                  <w:rFonts w:ascii="Calibri" w:eastAsia="Times New Roman" w:hAnsi="Calibri" w:cs="Times New Roman"/>
                  <w:i/>
                  <w:iCs/>
                  <w:color w:val="808080"/>
                  <w:lang w:eastAsia="sk-SK"/>
                </w:rPr>
                <w:t>up</w:t>
              </w:r>
              <w:proofErr w:type="spellEnd"/>
              <w:r w:rsidR="00FF6B5A" w:rsidRPr="00CB01FF">
                <w:rPr>
                  <w:rFonts w:ascii="Calibri" w:eastAsia="Times New Roman" w:hAnsi="Calibri" w:cs="Times New Roman"/>
                  <w:i/>
                  <w:iCs/>
                  <w:color w:val="808080"/>
                  <w:lang w:eastAsia="sk-SK"/>
                </w:rPr>
                <w:t xml:space="preserve"> to 200 </w:t>
              </w:r>
              <w:proofErr w:type="spellStart"/>
              <w:r w:rsidR="00FF6B5A" w:rsidRPr="00CB01FF">
                <w:rPr>
                  <w:rFonts w:ascii="Calibri" w:eastAsia="Times New Roman" w:hAnsi="Calibri" w:cs="Times New Roman"/>
                  <w:i/>
                  <w:iCs/>
                  <w:color w:val="808080"/>
                  <w:lang w:eastAsia="sk-SK"/>
                </w:rPr>
                <w:t>words</w:t>
              </w:r>
              <w:proofErr w:type="spellEnd"/>
              <w:r w:rsidR="00FF6B5A" w:rsidRPr="00CB01FF">
                <w:rPr>
                  <w:rFonts w:ascii="Calibri" w:eastAsia="Times New Roman" w:hAnsi="Calibri" w:cs="Times New Roman"/>
                  <w:i/>
                  <w:iCs/>
                  <w:color w:val="808080"/>
                  <w:lang w:eastAsia="sk-SK"/>
                </w:rPr>
                <w:t xml:space="preserve"> in Slovak</w:t>
              </w:r>
              <w:r w:rsidR="00FF6B5A" w:rsidRPr="00CB01FF">
                <w:rPr>
                  <w:rFonts w:ascii="Calibri" w:eastAsia="Times New Roman" w:hAnsi="Calibri" w:cs="Times New Roman"/>
                  <w:i/>
                  <w:iCs/>
                  <w:color w:val="808080"/>
                  <w:lang w:eastAsia="sk-SK"/>
                </w:rPr>
                <w:br w:type="page"/>
                <w:t xml:space="preserve">Rozsah do 200 slov v anglickom jazyku / </w:t>
              </w:r>
              <w:proofErr w:type="spellStart"/>
              <w:r w:rsidR="00FF6B5A" w:rsidRPr="00CB01FF">
                <w:rPr>
                  <w:rFonts w:ascii="Calibri" w:eastAsia="Times New Roman" w:hAnsi="Calibri" w:cs="Times New Roman"/>
                  <w:i/>
                  <w:iCs/>
                  <w:color w:val="808080"/>
                  <w:lang w:eastAsia="sk-SK"/>
                </w:rPr>
                <w:t>Range</w:t>
              </w:r>
              <w:proofErr w:type="spellEnd"/>
              <w:r w:rsidR="00FF6B5A" w:rsidRPr="00CB01FF">
                <w:rPr>
                  <w:rFonts w:ascii="Calibri" w:eastAsia="Times New Roman" w:hAnsi="Calibri" w:cs="Times New Roman"/>
                  <w:i/>
                  <w:iCs/>
                  <w:color w:val="808080"/>
                  <w:lang w:eastAsia="sk-SK"/>
                </w:rPr>
                <w:t xml:space="preserve"> </w:t>
              </w:r>
              <w:proofErr w:type="spellStart"/>
              <w:r w:rsidR="00FF6B5A" w:rsidRPr="00CB01FF">
                <w:rPr>
                  <w:rFonts w:ascii="Calibri" w:eastAsia="Times New Roman" w:hAnsi="Calibri" w:cs="Times New Roman"/>
                  <w:i/>
                  <w:iCs/>
                  <w:color w:val="808080"/>
                  <w:lang w:eastAsia="sk-SK"/>
                </w:rPr>
                <w:t>up</w:t>
              </w:r>
              <w:proofErr w:type="spellEnd"/>
              <w:r w:rsidR="00FF6B5A" w:rsidRPr="00CB01FF">
                <w:rPr>
                  <w:rFonts w:ascii="Calibri" w:eastAsia="Times New Roman" w:hAnsi="Calibri" w:cs="Times New Roman"/>
                  <w:i/>
                  <w:iCs/>
                  <w:color w:val="808080"/>
                  <w:lang w:eastAsia="sk-SK"/>
                </w:rPr>
                <w:t xml:space="preserve"> to 200 </w:t>
              </w:r>
              <w:proofErr w:type="spellStart"/>
              <w:r w:rsidR="00FF6B5A" w:rsidRPr="00CB01FF">
                <w:rPr>
                  <w:rFonts w:ascii="Calibri" w:eastAsia="Times New Roman" w:hAnsi="Calibri" w:cs="Times New Roman"/>
                  <w:i/>
                  <w:iCs/>
                  <w:color w:val="808080"/>
                  <w:lang w:eastAsia="sk-SK"/>
                </w:rPr>
                <w:t>words</w:t>
              </w:r>
              <w:proofErr w:type="spellEnd"/>
              <w:r w:rsidR="00FF6B5A" w:rsidRPr="00CB01FF">
                <w:rPr>
                  <w:rFonts w:ascii="Calibri" w:eastAsia="Times New Roman" w:hAnsi="Calibri" w:cs="Times New Roman"/>
                  <w:i/>
                  <w:iCs/>
                  <w:color w:val="808080"/>
                  <w:lang w:eastAsia="sk-SK"/>
                </w:rPr>
                <w:t xml:space="preserve"> in English </w:t>
              </w:r>
            </w:hyperlink>
          </w:p>
        </w:tc>
        <w:tc>
          <w:tcPr>
            <w:tcW w:w="7146" w:type="dxa"/>
            <w:shd w:val="clear" w:color="auto" w:fill="auto"/>
          </w:tcPr>
          <w:p w14:paraId="11ADCA33" w14:textId="77777777" w:rsidR="002E39E8" w:rsidRPr="002E39E8" w:rsidRDefault="002E39E8" w:rsidP="002E39E8">
            <w:pPr>
              <w:spacing w:after="0" w:line="240" w:lineRule="auto"/>
              <w:rPr>
                <w:rFonts w:eastAsia="Times New Roman" w:cstheme="minorHAnsi"/>
                <w:color w:val="000000"/>
                <w:lang w:eastAsia="sk-SK"/>
              </w:rPr>
            </w:pPr>
            <w:r w:rsidRPr="002E39E8">
              <w:rPr>
                <w:rFonts w:eastAsia="Times New Roman" w:cstheme="minorHAnsi"/>
                <w:color w:val="000000"/>
                <w:lang w:eastAsia="sk-SK"/>
              </w:rPr>
              <w:lastRenderedPageBreak/>
              <w:t>Základné princípy a zásady nového českého občianskeho zákonníka presahujú ich základnú definíciu v texte právneho predpisu. Ide o ucelený systém hodnôt a pravidiel, ktoré zabezpečujú uplatňovanie práva v súlade so slušnosťou a spravodlivosťou. Ústredným prvkom je súkromná autonómia, z ktorej možno odvodiť ďalšie dôležité princípy súkromného práva. Nejde len o teoretické deklarácie, ale o pravidlá s významnými praktickými dôsledkami.</w:t>
            </w:r>
          </w:p>
          <w:p w14:paraId="5332AED7" w14:textId="77777777" w:rsidR="002E39E8" w:rsidRPr="002E39E8" w:rsidRDefault="002E39E8" w:rsidP="002E39E8">
            <w:pPr>
              <w:spacing w:after="0" w:line="240" w:lineRule="auto"/>
              <w:rPr>
                <w:rFonts w:eastAsia="Times New Roman" w:cstheme="minorHAnsi"/>
                <w:color w:val="000000"/>
                <w:lang w:eastAsia="sk-SK"/>
              </w:rPr>
            </w:pPr>
          </w:p>
          <w:p w14:paraId="5A6A3D4E" w14:textId="77777777" w:rsidR="002E39E8" w:rsidRPr="002E39E8" w:rsidRDefault="002E39E8" w:rsidP="002E39E8">
            <w:pPr>
              <w:spacing w:after="0" w:line="240" w:lineRule="auto"/>
              <w:rPr>
                <w:rFonts w:eastAsia="Times New Roman" w:cstheme="minorHAnsi"/>
                <w:color w:val="000000"/>
                <w:lang w:eastAsia="sk-SK"/>
              </w:rPr>
            </w:pPr>
            <w:r w:rsidRPr="002E39E8">
              <w:rPr>
                <w:rFonts w:eastAsia="Times New Roman" w:cstheme="minorHAnsi"/>
                <w:color w:val="000000"/>
                <w:lang w:eastAsia="sk-SK"/>
              </w:rPr>
              <w:t>Monografia sa komplexne zaoberá otázkou princípov a základov vhodných pre nové české občianske právo. Zmena princípov a základov nového občianskeho práva je najdôležitejšou zmenou, ktorú priniesla rekodifikácia. Touto zmenou sa české občianske právo opäť vrátilo do kontextu súkromného práva. Publikácia poskytuje systematické poznatky týkajúce sa základných otázok princípov, ako je autonómia vôle, slušnosť a spravodlivosť, ako aj vzťah medzi verejným a súkromným právom.</w:t>
            </w:r>
          </w:p>
          <w:p w14:paraId="6D13AE23" w14:textId="4551BBAA" w:rsidR="00422600" w:rsidRPr="00CB01FF" w:rsidRDefault="00422600" w:rsidP="004F6F4A">
            <w:pPr>
              <w:spacing w:after="0" w:line="240" w:lineRule="auto"/>
              <w:rPr>
                <w:rFonts w:eastAsia="Times New Roman" w:cstheme="minorHAnsi"/>
                <w:i/>
                <w:iCs/>
                <w:color w:val="000000"/>
                <w:lang w:eastAsia="sk-SK"/>
              </w:rPr>
            </w:pPr>
          </w:p>
        </w:tc>
      </w:tr>
      <w:tr w:rsidR="00FF6B5A" w:rsidRPr="00FF6B5A" w14:paraId="0E3A4A1E" w14:textId="77777777" w:rsidTr="00731E38">
        <w:trPr>
          <w:trHeight w:val="915"/>
        </w:trPr>
        <w:tc>
          <w:tcPr>
            <w:tcW w:w="160" w:type="dxa"/>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9E1F2"/>
            <w:vAlign w:val="center"/>
            <w:hideMark/>
          </w:tcPr>
          <w:p w14:paraId="36CCB09B" w14:textId="77777777" w:rsidR="00FF6B5A" w:rsidRPr="00FF6B5A" w:rsidRDefault="007E4659"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7146" w:type="dxa"/>
            <w:shd w:val="clear" w:color="auto" w:fill="auto"/>
            <w:hideMark/>
          </w:tcPr>
          <w:p w14:paraId="410A55ED" w14:textId="77777777" w:rsidR="00422600" w:rsidRPr="007E4659" w:rsidRDefault="004F6F4A" w:rsidP="004F6F4A">
            <w:pPr>
              <w:spacing w:after="0" w:line="240" w:lineRule="auto"/>
              <w:rPr>
                <w:rFonts w:eastAsia="Times New Roman" w:cstheme="minorHAnsi"/>
                <w:color w:val="000000"/>
                <w:lang w:eastAsia="sk-SK"/>
              </w:rPr>
            </w:pP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basic</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principles</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fundamentals</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new </w:t>
            </w:r>
            <w:proofErr w:type="spellStart"/>
            <w:r w:rsidRPr="007E4659">
              <w:rPr>
                <w:rFonts w:eastAsia="Times New Roman" w:cstheme="minorHAnsi"/>
                <w:color w:val="000000"/>
                <w:lang w:eastAsia="sk-SK"/>
              </w:rPr>
              <w:t>Czech</w:t>
            </w:r>
            <w:proofErr w:type="spellEnd"/>
            <w:r w:rsidRPr="007E4659">
              <w:rPr>
                <w:rFonts w:eastAsia="Times New Roman" w:cstheme="minorHAnsi"/>
                <w:color w:val="000000"/>
                <w:lang w:eastAsia="sk-SK"/>
              </w:rPr>
              <w:t xml:space="preserve"> Civil </w:t>
            </w:r>
            <w:proofErr w:type="spellStart"/>
            <w:r w:rsidRPr="007E4659">
              <w:rPr>
                <w:rFonts w:eastAsia="Times New Roman" w:cstheme="minorHAnsi"/>
                <w:color w:val="000000"/>
                <w:lang w:eastAsia="sk-SK"/>
              </w:rPr>
              <w:t>Code</w:t>
            </w:r>
            <w:proofErr w:type="spellEnd"/>
            <w:r w:rsidRPr="007E4659">
              <w:rPr>
                <w:rFonts w:eastAsia="Times New Roman" w:cstheme="minorHAnsi"/>
                <w:color w:val="000000"/>
                <w:lang w:eastAsia="sk-SK"/>
              </w:rPr>
              <w:t xml:space="preserve"> go </w:t>
            </w:r>
            <w:proofErr w:type="spellStart"/>
            <w:r w:rsidRPr="007E4659">
              <w:rPr>
                <w:rFonts w:eastAsia="Times New Roman" w:cstheme="minorHAnsi"/>
                <w:color w:val="000000"/>
                <w:lang w:eastAsia="sk-SK"/>
              </w:rPr>
              <w:t>beyond</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their</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basic</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definition</w:t>
            </w:r>
            <w:proofErr w:type="spellEnd"/>
            <w:r w:rsidRPr="007E4659">
              <w:rPr>
                <w:rFonts w:eastAsia="Times New Roman" w:cstheme="minorHAnsi"/>
                <w:color w:val="000000"/>
                <w:lang w:eastAsia="sk-SK"/>
              </w:rPr>
              <w:t xml:space="preserve"> in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text of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legislation</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It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is</w:t>
            </w:r>
            <w:proofErr w:type="spellEnd"/>
            <w:r w:rsidRPr="007E4659">
              <w:rPr>
                <w:rFonts w:eastAsia="Times New Roman" w:cstheme="minorHAnsi"/>
                <w:color w:val="000000"/>
                <w:lang w:eastAsia="sk-SK"/>
              </w:rPr>
              <w:t xml:space="preserve"> a </w:t>
            </w:r>
            <w:proofErr w:type="spellStart"/>
            <w:r w:rsidRPr="007E4659">
              <w:rPr>
                <w:rFonts w:eastAsia="Times New Roman" w:cstheme="minorHAnsi"/>
                <w:color w:val="000000"/>
                <w:lang w:eastAsia="sk-SK"/>
              </w:rPr>
              <w:t>coherent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system</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values</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rules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that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ensure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application</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 xml:space="preserve"> in </w:t>
            </w:r>
            <w:proofErr w:type="spellStart"/>
            <w:r w:rsidRPr="007E4659">
              <w:rPr>
                <w:rFonts w:eastAsia="Times New Roman" w:cstheme="minorHAnsi"/>
                <w:color w:val="000000"/>
                <w:lang w:eastAsia="sk-SK"/>
              </w:rPr>
              <w:t>accordance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with</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decency</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fairness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central</w:t>
            </w:r>
            <w:proofErr w:type="spellEnd"/>
            <w:r w:rsidRPr="007E4659">
              <w:rPr>
                <w:rFonts w:eastAsia="Times New Roman" w:cstheme="minorHAnsi"/>
                <w:color w:val="000000"/>
                <w:lang w:eastAsia="sk-SK"/>
              </w:rPr>
              <w:t xml:space="preserve"> element </w:t>
            </w:r>
            <w:proofErr w:type="spellStart"/>
            <w:r w:rsidRPr="007E4659">
              <w:rPr>
                <w:rFonts w:eastAsia="Times New Roman" w:cstheme="minorHAnsi"/>
                <w:color w:val="000000"/>
                <w:lang w:eastAsia="sk-SK"/>
              </w:rPr>
              <w:t>is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private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autonomy</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from</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which</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other</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important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principles</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private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can</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be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derived</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These</w:t>
            </w:r>
            <w:proofErr w:type="spellEnd"/>
            <w:r w:rsidRPr="007E4659">
              <w:rPr>
                <w:rFonts w:eastAsia="Times New Roman" w:cstheme="minorHAnsi"/>
                <w:color w:val="000000"/>
                <w:lang w:eastAsia="sk-SK"/>
              </w:rPr>
              <w:t xml:space="preserve"> are </w:t>
            </w:r>
            <w:proofErr w:type="spellStart"/>
            <w:r w:rsidRPr="007E4659">
              <w:rPr>
                <w:rFonts w:eastAsia="Times New Roman" w:cstheme="minorHAnsi"/>
                <w:color w:val="000000"/>
                <w:lang w:eastAsia="sk-SK"/>
              </w:rPr>
              <w:t>not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merely</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theoretical</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declarations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but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rules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with</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significant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practical</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implication</w:t>
            </w:r>
            <w:proofErr w:type="spellEnd"/>
            <w:r w:rsidR="002E1DFA" w:rsidRPr="007E4659">
              <w:rPr>
                <w:rFonts w:eastAsia="Times New Roman" w:cstheme="minorHAnsi"/>
                <w:color w:val="000000"/>
                <w:lang w:eastAsia="sk-SK"/>
              </w:rPr>
              <w:t>.</w:t>
            </w:r>
          </w:p>
          <w:p w14:paraId="45D4C299" w14:textId="448F3785" w:rsidR="002E1DFA" w:rsidRPr="00CB01FF" w:rsidRDefault="002E1DFA" w:rsidP="004F6F4A">
            <w:pPr>
              <w:spacing w:after="0" w:line="240" w:lineRule="auto"/>
              <w:rPr>
                <w:rFonts w:eastAsia="Times New Roman" w:cstheme="minorHAnsi"/>
                <w:i/>
                <w:iCs/>
                <w:color w:val="000000"/>
                <w:lang w:eastAsia="sk-SK"/>
              </w:rPr>
            </w:pP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monograph</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comprehensively</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deals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with</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question</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principles</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foundations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suitable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for</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new </w:t>
            </w:r>
            <w:proofErr w:type="spellStart"/>
            <w:r w:rsidRPr="007E4659">
              <w:rPr>
                <w:rFonts w:eastAsia="Times New Roman" w:cstheme="minorHAnsi"/>
                <w:color w:val="000000"/>
                <w:lang w:eastAsia="sk-SK"/>
              </w:rPr>
              <w:t>Czech</w:t>
            </w:r>
            <w:proofErr w:type="spellEnd"/>
            <w:r w:rsidRPr="007E4659">
              <w:rPr>
                <w:rFonts w:eastAsia="Times New Roman" w:cstheme="minorHAnsi"/>
                <w:color w:val="000000"/>
                <w:lang w:eastAsia="sk-SK"/>
              </w:rPr>
              <w:t xml:space="preserve"> civil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change of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principles</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bases</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new civil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is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most </w:t>
            </w:r>
            <w:proofErr w:type="spellStart"/>
            <w:r w:rsidRPr="007E4659">
              <w:rPr>
                <w:rFonts w:eastAsia="Times New Roman" w:cstheme="minorHAnsi"/>
                <w:color w:val="000000"/>
                <w:lang w:eastAsia="sk-SK"/>
              </w:rPr>
              <w:t>important</w:t>
            </w:r>
            <w:proofErr w:type="spellEnd"/>
            <w:r w:rsidRPr="007E4659">
              <w:rPr>
                <w:rFonts w:eastAsia="Times New Roman" w:cstheme="minorHAnsi"/>
                <w:color w:val="000000"/>
                <w:lang w:eastAsia="sk-SK"/>
              </w:rPr>
              <w:t xml:space="preserve"> change </w:t>
            </w:r>
            <w:proofErr w:type="spellStart"/>
            <w:r w:rsidRPr="007E4659">
              <w:rPr>
                <w:rFonts w:eastAsia="Times New Roman" w:cstheme="minorHAnsi"/>
                <w:color w:val="000000"/>
                <w:lang w:eastAsia="sk-SK"/>
              </w:rPr>
              <w:t>brought</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about</w:t>
            </w:r>
            <w:proofErr w:type="spellEnd"/>
            <w:r w:rsidRPr="007E4659">
              <w:rPr>
                <w:rFonts w:eastAsia="Times New Roman" w:cstheme="minorHAnsi"/>
                <w:color w:val="000000"/>
                <w:lang w:eastAsia="sk-SK"/>
              </w:rPr>
              <w:t xml:space="preserve"> by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recodification</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With</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this</w:t>
            </w:r>
            <w:proofErr w:type="spellEnd"/>
            <w:r w:rsidRPr="007E4659">
              <w:rPr>
                <w:rFonts w:eastAsia="Times New Roman" w:cstheme="minorHAnsi"/>
                <w:color w:val="000000"/>
                <w:lang w:eastAsia="sk-SK"/>
              </w:rPr>
              <w:t xml:space="preserve"> change, </w:t>
            </w:r>
            <w:proofErr w:type="spellStart"/>
            <w:r w:rsidRPr="007E4659">
              <w:rPr>
                <w:rFonts w:eastAsia="Times New Roman" w:cstheme="minorHAnsi"/>
                <w:color w:val="000000"/>
                <w:lang w:eastAsia="sk-SK"/>
              </w:rPr>
              <w:t>Czech</w:t>
            </w:r>
            <w:proofErr w:type="spellEnd"/>
            <w:r w:rsidRPr="007E4659">
              <w:rPr>
                <w:rFonts w:eastAsia="Times New Roman" w:cstheme="minorHAnsi"/>
                <w:color w:val="000000"/>
                <w:lang w:eastAsia="sk-SK"/>
              </w:rPr>
              <w:t xml:space="preserve"> civil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 xml:space="preserve"> has </w:t>
            </w:r>
            <w:proofErr w:type="spellStart"/>
            <w:r w:rsidRPr="007E4659">
              <w:rPr>
                <w:rFonts w:eastAsia="Times New Roman" w:cstheme="minorHAnsi"/>
                <w:color w:val="000000"/>
                <w:lang w:eastAsia="sk-SK"/>
              </w:rPr>
              <w:t>once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again</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returned</w:t>
            </w:r>
            <w:proofErr w:type="spellEnd"/>
            <w:r w:rsidRPr="007E4659">
              <w:rPr>
                <w:rFonts w:eastAsia="Times New Roman" w:cstheme="minorHAnsi"/>
                <w:color w:val="000000"/>
                <w:lang w:eastAsia="sk-SK"/>
              </w:rPr>
              <w:t xml:space="preserve"> to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context</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private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publication</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provides</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systematic</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knowledge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concerning</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fundamental</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questions</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principle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such</w:t>
            </w:r>
            <w:proofErr w:type="spellEnd"/>
            <w:r w:rsidRPr="007E4659">
              <w:rPr>
                <w:rFonts w:eastAsia="Times New Roman" w:cstheme="minorHAnsi"/>
                <w:color w:val="000000"/>
                <w:lang w:eastAsia="sk-SK"/>
              </w:rPr>
              <w:t xml:space="preserve"> as </w:t>
            </w:r>
            <w:proofErr w:type="spellStart"/>
            <w:r w:rsidRPr="007E4659">
              <w:rPr>
                <w:rFonts w:eastAsia="Times New Roman" w:cstheme="minorHAnsi"/>
                <w:color w:val="000000"/>
                <w:lang w:eastAsia="sk-SK"/>
              </w:rPr>
              <w:t>autonomy</w:t>
            </w:r>
            <w:proofErr w:type="spellEnd"/>
            <w:r w:rsidRPr="007E4659">
              <w:rPr>
                <w:rFonts w:eastAsia="Times New Roman" w:cstheme="minorHAnsi"/>
                <w:color w:val="000000"/>
                <w:lang w:eastAsia="sk-SK"/>
              </w:rPr>
              <w:t xml:space="preserve"> of </w:t>
            </w:r>
            <w:proofErr w:type="spellStart"/>
            <w:r w:rsidRPr="007E4659">
              <w:rPr>
                <w:rFonts w:eastAsia="Times New Roman" w:cstheme="minorHAnsi"/>
                <w:color w:val="000000"/>
                <w:lang w:eastAsia="sk-SK"/>
              </w:rPr>
              <w:t>will</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decency</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equity</w:t>
            </w:r>
            <w:proofErr w:type="spellEnd"/>
            <w:r w:rsidRPr="007E4659">
              <w:rPr>
                <w:rFonts w:eastAsia="Times New Roman" w:cstheme="minorHAnsi"/>
                <w:color w:val="000000"/>
                <w:lang w:eastAsia="sk-SK"/>
              </w:rPr>
              <w:t xml:space="preserve">, as </w:t>
            </w:r>
            <w:proofErr w:type="spellStart"/>
            <w:r w:rsidRPr="007E4659">
              <w:rPr>
                <w:rFonts w:eastAsia="Times New Roman" w:cstheme="minorHAnsi"/>
                <w:color w:val="000000"/>
                <w:lang w:eastAsia="sk-SK"/>
              </w:rPr>
              <w:t>well</w:t>
            </w:r>
            <w:proofErr w:type="spellEnd"/>
            <w:r w:rsidRPr="007E4659">
              <w:rPr>
                <w:rFonts w:eastAsia="Times New Roman" w:cstheme="minorHAnsi"/>
                <w:color w:val="000000"/>
                <w:lang w:eastAsia="sk-SK"/>
              </w:rPr>
              <w:t xml:space="preserve"> as </w:t>
            </w:r>
            <w:proofErr w:type="spellStart"/>
            <w:r w:rsidRPr="007E4659">
              <w:rPr>
                <w:rFonts w:eastAsia="Times New Roman" w:cstheme="minorHAnsi"/>
                <w:color w:val="000000"/>
                <w:lang w:eastAsia="sk-SK"/>
              </w:rPr>
              <w:t>the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relationship</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between</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public</w:t>
            </w:r>
            <w:proofErr w:type="spellEnd"/>
            <w:r w:rsidRPr="007E4659">
              <w:rPr>
                <w:rFonts w:eastAsia="Times New Roman" w:cstheme="minorHAnsi"/>
                <w:color w:val="000000"/>
                <w:lang w:eastAsia="sk-SK"/>
              </w:rPr>
              <w:t xml:space="preserve"> and </w:t>
            </w:r>
            <w:proofErr w:type="spellStart"/>
            <w:r w:rsidRPr="007E4659">
              <w:rPr>
                <w:rFonts w:eastAsia="Times New Roman" w:cstheme="minorHAnsi"/>
                <w:color w:val="000000"/>
                <w:lang w:eastAsia="sk-SK"/>
              </w:rPr>
              <w:t>private</w:t>
            </w:r>
            <w:proofErr w:type="spellEnd"/>
            <w:r w:rsidRPr="007E4659">
              <w:rPr>
                <w:rFonts w:eastAsia="Times New Roman" w:cstheme="minorHAnsi"/>
                <w:color w:val="000000"/>
                <w:lang w:eastAsia="sk-SK"/>
              </w:rPr>
              <w:t xml:space="preserve"> </w:t>
            </w:r>
            <w:proofErr w:type="spellStart"/>
            <w:r w:rsidRPr="007E4659">
              <w:rPr>
                <w:rFonts w:eastAsia="Times New Roman" w:cstheme="minorHAnsi"/>
                <w:color w:val="000000"/>
                <w:lang w:eastAsia="sk-SK"/>
              </w:rPr>
              <w:t>law</w:t>
            </w:r>
            <w:proofErr w:type="spellEnd"/>
            <w:r w:rsidRPr="007E4659">
              <w:rPr>
                <w:rFonts w:eastAsia="Times New Roman" w:cstheme="minorHAnsi"/>
                <w:color w:val="000000"/>
                <w:lang w:eastAsia="sk-SK"/>
              </w:rPr>
              <w:t>.</w:t>
            </w:r>
          </w:p>
        </w:tc>
      </w:tr>
      <w:tr w:rsidR="00FF6B5A" w:rsidRPr="00FF6B5A" w14:paraId="715A9106" w14:textId="77777777" w:rsidTr="00731E38">
        <w:trPr>
          <w:trHeight w:val="810"/>
        </w:trPr>
        <w:tc>
          <w:tcPr>
            <w:tcW w:w="160" w:type="dxa"/>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7146" w:type="dxa"/>
            <w:shd w:val="clear" w:color="auto" w:fill="auto"/>
            <w:hideMark/>
          </w:tcPr>
          <w:p w14:paraId="6137571A" w14:textId="77777777" w:rsidR="00073EC9" w:rsidRPr="00CB01FF" w:rsidRDefault="00073EC9" w:rsidP="00073EC9">
            <w:pPr>
              <w:widowControl w:val="0"/>
              <w:autoSpaceDE w:val="0"/>
              <w:autoSpaceDN w:val="0"/>
              <w:adjustRightInd w:val="0"/>
              <w:spacing w:after="0" w:line="240" w:lineRule="auto"/>
              <w:rPr>
                <w:rFonts w:cstheme="minorHAnsi"/>
                <w:i/>
                <w:iCs/>
                <w:lang w:val="en-US"/>
              </w:rPr>
            </w:pPr>
            <w:r w:rsidRPr="00CB01FF">
              <w:rPr>
                <w:rFonts w:cstheme="minorHAnsi"/>
                <w:i/>
                <w:iCs/>
                <w:lang w:val="en-US"/>
              </w:rPr>
              <w:t xml:space="preserve">2019 [1] KRÁLÍČKOVÁ, Z. Considerations on Czech Family Law in the Light of the Centenary of the so-called Marriage Amendment. In </w:t>
            </w:r>
            <w:proofErr w:type="spellStart"/>
            <w:r w:rsidRPr="00CB01FF">
              <w:rPr>
                <w:rFonts w:cstheme="minorHAnsi"/>
                <w:i/>
                <w:iCs/>
                <w:lang w:val="en-US"/>
              </w:rPr>
              <w:t>Casopis</w:t>
            </w:r>
            <w:proofErr w:type="spellEnd"/>
            <w:r w:rsidRPr="00CB01FF">
              <w:rPr>
                <w:rFonts w:cstheme="minorHAnsi"/>
                <w:i/>
                <w:iCs/>
                <w:lang w:val="en-US"/>
              </w:rPr>
              <w:t xml:space="preserve"> pro </w:t>
            </w:r>
            <w:proofErr w:type="spellStart"/>
            <w:r w:rsidRPr="00CB01FF">
              <w:rPr>
                <w:rFonts w:cstheme="minorHAnsi"/>
                <w:i/>
                <w:iCs/>
                <w:lang w:val="en-US"/>
              </w:rPr>
              <w:t>pravni</w:t>
            </w:r>
            <w:proofErr w:type="spellEnd"/>
            <w:r w:rsidRPr="00CB01FF">
              <w:rPr>
                <w:rFonts w:cstheme="minorHAnsi"/>
                <w:i/>
                <w:iCs/>
                <w:lang w:val="en-US"/>
              </w:rPr>
              <w:t xml:space="preserve"> </w:t>
            </w:r>
            <w:proofErr w:type="spellStart"/>
            <w:r w:rsidRPr="00CB01FF">
              <w:rPr>
                <w:rFonts w:cstheme="minorHAnsi"/>
                <w:i/>
                <w:iCs/>
                <w:lang w:val="en-US"/>
              </w:rPr>
              <w:t>vedu</w:t>
            </w:r>
            <w:proofErr w:type="spellEnd"/>
            <w:r w:rsidRPr="00CB01FF">
              <w:rPr>
                <w:rFonts w:cstheme="minorHAnsi"/>
                <w:i/>
                <w:iCs/>
                <w:lang w:val="en-US"/>
              </w:rPr>
              <w:t xml:space="preserve"> a </w:t>
            </w:r>
            <w:proofErr w:type="spellStart"/>
            <w:r w:rsidRPr="00CB01FF">
              <w:rPr>
                <w:rFonts w:cstheme="minorHAnsi"/>
                <w:i/>
                <w:iCs/>
                <w:lang w:val="en-US"/>
              </w:rPr>
              <w:t>praxi</w:t>
            </w:r>
            <w:proofErr w:type="spellEnd"/>
            <w:r w:rsidRPr="00CB01FF">
              <w:rPr>
                <w:rFonts w:cstheme="minorHAnsi"/>
                <w:i/>
                <w:iCs/>
                <w:lang w:val="en-US"/>
              </w:rPr>
              <w:t xml:space="preserve">, vol. 27, special </w:t>
            </w:r>
            <w:proofErr w:type="spellStart"/>
            <w:r w:rsidRPr="00CB01FF">
              <w:rPr>
                <w:rFonts w:cstheme="minorHAnsi"/>
                <w:i/>
                <w:iCs/>
                <w:lang w:val="en-US"/>
              </w:rPr>
              <w:t>iss</w:t>
            </w:r>
            <w:proofErr w:type="spellEnd"/>
            <w:r w:rsidRPr="00CB01FF">
              <w:rPr>
                <w:rFonts w:cstheme="minorHAnsi"/>
                <w:i/>
                <w:iCs/>
                <w:lang w:val="en-US"/>
              </w:rPr>
              <w:t>., 2019, p. 59-71. ISSN 1210-9126. - SCOPUS</w:t>
            </w:r>
          </w:p>
          <w:p w14:paraId="23156F91" w14:textId="77777777" w:rsidR="00073EC9" w:rsidRPr="00CB01FF" w:rsidRDefault="00073EC9" w:rsidP="00073EC9">
            <w:pPr>
              <w:widowControl w:val="0"/>
              <w:autoSpaceDE w:val="0"/>
              <w:autoSpaceDN w:val="0"/>
              <w:adjustRightInd w:val="0"/>
              <w:spacing w:after="0" w:line="240" w:lineRule="auto"/>
              <w:rPr>
                <w:rFonts w:cstheme="minorHAnsi"/>
                <w:i/>
                <w:iCs/>
                <w:lang w:val="en-US"/>
              </w:rPr>
            </w:pPr>
            <w:r w:rsidRPr="00CB01FF">
              <w:rPr>
                <w:rFonts w:cstheme="minorHAnsi"/>
                <w:i/>
                <w:iCs/>
                <w:lang w:val="en-US"/>
              </w:rPr>
              <w:t xml:space="preserve">2018 [1] KRÁLÍČKOVÁ, Z. The civil status of transsexual and transgender people in the Czech Republic. In The Lawyer quarterly, vol. 8, </w:t>
            </w:r>
            <w:proofErr w:type="spellStart"/>
            <w:r w:rsidRPr="00CB01FF">
              <w:rPr>
                <w:rFonts w:cstheme="minorHAnsi"/>
                <w:i/>
                <w:iCs/>
                <w:lang w:val="en-US"/>
              </w:rPr>
              <w:t>iss</w:t>
            </w:r>
            <w:proofErr w:type="spellEnd"/>
            <w:r w:rsidRPr="00CB01FF">
              <w:rPr>
                <w:rFonts w:cstheme="minorHAnsi"/>
                <w:i/>
                <w:iCs/>
                <w:lang w:val="en-US"/>
              </w:rPr>
              <w:t>. 4, 2018, p. 499-511. ISSN 1805-8396. - SCOPUS</w:t>
            </w:r>
          </w:p>
          <w:p w14:paraId="0865CF77" w14:textId="77777777" w:rsidR="00073EC9" w:rsidRPr="00CB01FF" w:rsidRDefault="00073EC9" w:rsidP="00073EC9">
            <w:pPr>
              <w:widowControl w:val="0"/>
              <w:autoSpaceDE w:val="0"/>
              <w:autoSpaceDN w:val="0"/>
              <w:adjustRightInd w:val="0"/>
              <w:spacing w:after="0" w:line="240" w:lineRule="auto"/>
              <w:rPr>
                <w:rFonts w:cstheme="minorHAnsi"/>
                <w:i/>
                <w:iCs/>
                <w:lang w:val="de-DE"/>
              </w:rPr>
            </w:pPr>
            <w:r w:rsidRPr="00CB01FF">
              <w:rPr>
                <w:rFonts w:cstheme="minorHAnsi"/>
                <w:i/>
                <w:iCs/>
                <w:lang w:val="en-US"/>
              </w:rPr>
              <w:t xml:space="preserve">2019 [2] MAREK, K. Contract for Work in the Context of Industrial Revolution 4.0. In </w:t>
            </w:r>
            <w:proofErr w:type="spellStart"/>
            <w:r w:rsidRPr="00CB01FF">
              <w:rPr>
                <w:rFonts w:cstheme="minorHAnsi"/>
                <w:i/>
                <w:iCs/>
                <w:lang w:val="en-US"/>
              </w:rPr>
              <w:t>Madzik</w:t>
            </w:r>
            <w:proofErr w:type="spellEnd"/>
            <w:r w:rsidRPr="00CB01FF">
              <w:rPr>
                <w:rFonts w:cstheme="minorHAnsi"/>
                <w:i/>
                <w:iCs/>
                <w:lang w:val="en-US"/>
              </w:rPr>
              <w:t xml:space="preserve">, P. (ed.) The </w:t>
            </w:r>
            <w:proofErr w:type="spellStart"/>
            <w:r w:rsidRPr="00CB01FF">
              <w:rPr>
                <w:rFonts w:cstheme="minorHAnsi"/>
                <w:i/>
                <w:iCs/>
                <w:lang w:val="en-US"/>
              </w:rPr>
              <w:t>Poprad</w:t>
            </w:r>
            <w:proofErr w:type="spellEnd"/>
            <w:r w:rsidRPr="00CB01FF">
              <w:rPr>
                <w:rFonts w:cstheme="minorHAnsi"/>
                <w:i/>
                <w:iCs/>
                <w:lang w:val="en-US"/>
              </w:rPr>
              <w:t xml:space="preserve"> economic and management forum 2019. </w:t>
            </w:r>
            <w:proofErr w:type="spellStart"/>
            <w:proofErr w:type="gramStart"/>
            <w:r w:rsidRPr="005B1A42">
              <w:rPr>
                <w:rFonts w:cstheme="minorHAnsi"/>
                <w:i/>
                <w:iCs/>
                <w:lang w:val="en-GB"/>
              </w:rPr>
              <w:t>Ruzomberok</w:t>
            </w:r>
            <w:proofErr w:type="spellEnd"/>
            <w:r w:rsidRPr="005B1A42">
              <w:rPr>
                <w:rFonts w:cstheme="minorHAnsi"/>
                <w:i/>
                <w:iCs/>
                <w:lang w:val="en-GB"/>
              </w:rPr>
              <w:t xml:space="preserve"> :</w:t>
            </w:r>
            <w:proofErr w:type="gramEnd"/>
            <w:r w:rsidRPr="005B1A42">
              <w:rPr>
                <w:rFonts w:cstheme="minorHAnsi"/>
                <w:i/>
                <w:iCs/>
                <w:lang w:val="en-GB"/>
              </w:rPr>
              <w:t xml:space="preserve"> Verbum, 2019, p. 102-113. </w:t>
            </w:r>
            <w:r w:rsidRPr="00CB01FF">
              <w:rPr>
                <w:rFonts w:cstheme="minorHAnsi"/>
                <w:i/>
                <w:iCs/>
                <w:lang w:val="de-DE"/>
              </w:rPr>
              <w:t>ISBN 978-80-561-0671-6. – WOS</w:t>
            </w:r>
          </w:p>
          <w:p w14:paraId="44D4CE23" w14:textId="1A30F3A6" w:rsidR="00073EC9" w:rsidRPr="005B1A42" w:rsidRDefault="00073EC9" w:rsidP="00073EC9">
            <w:pPr>
              <w:widowControl w:val="0"/>
              <w:autoSpaceDE w:val="0"/>
              <w:autoSpaceDN w:val="0"/>
              <w:adjustRightInd w:val="0"/>
              <w:spacing w:after="0" w:line="240" w:lineRule="auto"/>
              <w:rPr>
                <w:rFonts w:cstheme="minorHAnsi"/>
                <w:i/>
                <w:iCs/>
                <w:lang w:val="en-GB"/>
              </w:rPr>
            </w:pPr>
            <w:r w:rsidRPr="005B1A42">
              <w:rPr>
                <w:rFonts w:cstheme="minorHAnsi"/>
                <w:i/>
                <w:iCs/>
                <w:lang w:val="en-GB"/>
              </w:rPr>
              <w:t xml:space="preserve">2019 [3] PETROV, J. - VÝTISK, M. - BERAN, V. a </w:t>
            </w:r>
            <w:proofErr w:type="spellStart"/>
            <w:r w:rsidRPr="005B1A42">
              <w:rPr>
                <w:rFonts w:cstheme="minorHAnsi"/>
                <w:i/>
                <w:iCs/>
                <w:lang w:val="en-GB"/>
              </w:rPr>
              <w:t>kol</w:t>
            </w:r>
            <w:proofErr w:type="spellEnd"/>
            <w:r w:rsidRPr="005B1A42">
              <w:rPr>
                <w:rFonts w:cstheme="minorHAnsi"/>
                <w:i/>
                <w:iCs/>
                <w:lang w:val="en-GB"/>
              </w:rPr>
              <w:t xml:space="preserve">. </w:t>
            </w:r>
            <w:proofErr w:type="spellStart"/>
            <w:r w:rsidRPr="005B1A42">
              <w:rPr>
                <w:rFonts w:cstheme="minorHAnsi"/>
                <w:i/>
                <w:iCs/>
                <w:lang w:val="en-GB"/>
              </w:rPr>
              <w:t>Občanský</w:t>
            </w:r>
            <w:proofErr w:type="spellEnd"/>
            <w:r w:rsidRPr="005B1A42">
              <w:rPr>
                <w:rFonts w:cstheme="minorHAnsi"/>
                <w:i/>
                <w:iCs/>
                <w:lang w:val="en-GB"/>
              </w:rPr>
              <w:t xml:space="preserve"> </w:t>
            </w:r>
            <w:proofErr w:type="spellStart"/>
            <w:r w:rsidRPr="005B1A42">
              <w:rPr>
                <w:rFonts w:cstheme="minorHAnsi"/>
                <w:i/>
                <w:iCs/>
                <w:lang w:val="en-GB"/>
              </w:rPr>
              <w:t>zákoník</w:t>
            </w:r>
            <w:proofErr w:type="spellEnd"/>
            <w:r w:rsidRPr="005B1A42">
              <w:rPr>
                <w:rFonts w:cstheme="minorHAnsi"/>
                <w:i/>
                <w:iCs/>
                <w:lang w:val="en-GB"/>
              </w:rPr>
              <w:t xml:space="preserve"> / Civil Code. </w:t>
            </w:r>
            <w:proofErr w:type="gramStart"/>
            <w:r w:rsidRPr="005B1A42">
              <w:rPr>
                <w:rFonts w:cstheme="minorHAnsi"/>
                <w:i/>
                <w:iCs/>
                <w:lang w:val="en-GB"/>
              </w:rPr>
              <w:t>Praha :</w:t>
            </w:r>
            <w:proofErr w:type="gramEnd"/>
            <w:r w:rsidRPr="005B1A42">
              <w:rPr>
                <w:rFonts w:cstheme="minorHAnsi"/>
                <w:i/>
                <w:iCs/>
                <w:lang w:val="en-GB"/>
              </w:rPr>
              <w:t xml:space="preserve"> C.H. Beck, 2019, s. XLVIII. ISBN 978-80-7400-747-7</w:t>
            </w:r>
          </w:p>
          <w:p w14:paraId="2673A73A" w14:textId="46900A40" w:rsidR="004A4A06" w:rsidRPr="00CB01FF" w:rsidRDefault="00073EC9" w:rsidP="00CB01FF">
            <w:pPr>
              <w:widowControl w:val="0"/>
              <w:autoSpaceDE w:val="0"/>
              <w:autoSpaceDN w:val="0"/>
              <w:adjustRightInd w:val="0"/>
              <w:spacing w:after="0" w:line="240" w:lineRule="auto"/>
              <w:rPr>
                <w:rFonts w:cstheme="minorHAnsi"/>
                <w:i/>
                <w:iCs/>
                <w:lang w:val="en-GB"/>
              </w:rPr>
            </w:pPr>
            <w:r w:rsidRPr="00CB01FF">
              <w:rPr>
                <w:rFonts w:cstheme="minorHAnsi"/>
                <w:i/>
                <w:iCs/>
                <w:lang w:val="en-GB"/>
              </w:rPr>
              <w:t xml:space="preserve">2018 [4] DULAK, A. </w:t>
            </w:r>
            <w:proofErr w:type="spellStart"/>
            <w:r w:rsidRPr="00CB01FF">
              <w:rPr>
                <w:rFonts w:cstheme="minorHAnsi"/>
                <w:i/>
                <w:iCs/>
                <w:lang w:val="en-GB"/>
              </w:rPr>
              <w:t>Súkromonoprávna</w:t>
            </w:r>
            <w:proofErr w:type="spellEnd"/>
            <w:r w:rsidRPr="00CB01FF">
              <w:rPr>
                <w:rFonts w:cstheme="minorHAnsi"/>
                <w:i/>
                <w:iCs/>
                <w:lang w:val="en-GB"/>
              </w:rPr>
              <w:t xml:space="preserve"> </w:t>
            </w:r>
            <w:proofErr w:type="spellStart"/>
            <w:r w:rsidRPr="00CB01FF">
              <w:rPr>
                <w:rFonts w:cstheme="minorHAnsi"/>
                <w:i/>
                <w:iCs/>
                <w:lang w:val="en-GB"/>
              </w:rPr>
              <w:t>autonómia</w:t>
            </w:r>
            <w:proofErr w:type="spellEnd"/>
            <w:r w:rsidRPr="00CB01FF">
              <w:rPr>
                <w:rFonts w:cstheme="minorHAnsi"/>
                <w:i/>
                <w:iCs/>
                <w:lang w:val="en-GB"/>
              </w:rPr>
              <w:t xml:space="preserve"> a </w:t>
            </w:r>
            <w:proofErr w:type="spellStart"/>
            <w:r w:rsidRPr="00CB01FF">
              <w:rPr>
                <w:rFonts w:cstheme="minorHAnsi"/>
                <w:i/>
                <w:iCs/>
                <w:lang w:val="en-GB"/>
              </w:rPr>
              <w:t>jej</w:t>
            </w:r>
            <w:proofErr w:type="spellEnd"/>
            <w:r w:rsidRPr="00CB01FF">
              <w:rPr>
                <w:rFonts w:cstheme="minorHAnsi"/>
                <w:i/>
                <w:iCs/>
                <w:lang w:val="en-GB"/>
              </w:rPr>
              <w:t xml:space="preserve"> </w:t>
            </w:r>
            <w:proofErr w:type="spellStart"/>
            <w:proofErr w:type="gramStart"/>
            <w:r w:rsidRPr="00CB01FF">
              <w:rPr>
                <w:rFonts w:cstheme="minorHAnsi"/>
                <w:i/>
                <w:iCs/>
                <w:lang w:val="en-GB"/>
              </w:rPr>
              <w:t>limity</w:t>
            </w:r>
            <w:proofErr w:type="spellEnd"/>
            <w:r w:rsidRPr="00CB01FF">
              <w:rPr>
                <w:rFonts w:cstheme="minorHAnsi"/>
                <w:i/>
                <w:iCs/>
                <w:lang w:val="en-GB"/>
              </w:rPr>
              <w:t xml:space="preserve"> :</w:t>
            </w:r>
            <w:proofErr w:type="gramEnd"/>
            <w:r w:rsidRPr="00CB01FF">
              <w:rPr>
                <w:rFonts w:cstheme="minorHAnsi"/>
                <w:i/>
                <w:iCs/>
                <w:lang w:val="en-GB"/>
              </w:rPr>
              <w:t xml:space="preserve"> (</w:t>
            </w:r>
            <w:proofErr w:type="spellStart"/>
            <w:r w:rsidRPr="00CB01FF">
              <w:rPr>
                <w:rFonts w:cstheme="minorHAnsi"/>
                <w:i/>
                <w:iCs/>
                <w:lang w:val="en-GB"/>
              </w:rPr>
              <w:t>inauguračná</w:t>
            </w:r>
            <w:proofErr w:type="spellEnd"/>
            <w:r w:rsidRPr="00CB01FF">
              <w:rPr>
                <w:rFonts w:cstheme="minorHAnsi"/>
                <w:i/>
                <w:iCs/>
                <w:lang w:val="en-GB"/>
              </w:rPr>
              <w:t xml:space="preserve"> </w:t>
            </w:r>
            <w:proofErr w:type="spellStart"/>
            <w:r w:rsidRPr="00CB01FF">
              <w:rPr>
                <w:rFonts w:cstheme="minorHAnsi"/>
                <w:i/>
                <w:iCs/>
                <w:lang w:val="en-GB"/>
              </w:rPr>
              <w:t>prednáška</w:t>
            </w:r>
            <w:proofErr w:type="spellEnd"/>
            <w:r w:rsidRPr="00CB01FF">
              <w:rPr>
                <w:rFonts w:cstheme="minorHAnsi"/>
                <w:i/>
                <w:iCs/>
                <w:lang w:val="en-GB"/>
              </w:rPr>
              <w:t xml:space="preserve">). / Private autonomy and </w:t>
            </w:r>
            <w:proofErr w:type="spellStart"/>
            <w:r w:rsidRPr="00CB01FF">
              <w:rPr>
                <w:rFonts w:cstheme="minorHAnsi"/>
                <w:i/>
                <w:iCs/>
                <w:lang w:val="en-GB"/>
              </w:rPr>
              <w:t>ist</w:t>
            </w:r>
            <w:proofErr w:type="spellEnd"/>
            <w:r w:rsidRPr="00CB01FF">
              <w:rPr>
                <w:rFonts w:cstheme="minorHAnsi"/>
                <w:i/>
                <w:iCs/>
                <w:lang w:val="en-GB"/>
              </w:rPr>
              <w:t xml:space="preserve"> limits (inaugural lecture) In </w:t>
            </w:r>
            <w:proofErr w:type="spellStart"/>
            <w:r w:rsidRPr="00CB01FF">
              <w:rPr>
                <w:rFonts w:cstheme="minorHAnsi"/>
                <w:i/>
                <w:iCs/>
                <w:lang w:val="en-GB"/>
              </w:rPr>
              <w:t>Právny</w:t>
            </w:r>
            <w:proofErr w:type="spellEnd"/>
            <w:r w:rsidRPr="00CB01FF">
              <w:rPr>
                <w:rFonts w:cstheme="minorHAnsi"/>
                <w:i/>
                <w:iCs/>
                <w:lang w:val="en-GB"/>
              </w:rPr>
              <w:t xml:space="preserve"> </w:t>
            </w:r>
            <w:proofErr w:type="spellStart"/>
            <w:r w:rsidRPr="00CB01FF">
              <w:rPr>
                <w:rFonts w:cstheme="minorHAnsi"/>
                <w:i/>
                <w:iCs/>
                <w:lang w:val="en-GB"/>
              </w:rPr>
              <w:t>obzor</w:t>
            </w:r>
            <w:proofErr w:type="spellEnd"/>
            <w:r w:rsidRPr="00CB01FF">
              <w:rPr>
                <w:rFonts w:cstheme="minorHAnsi"/>
                <w:i/>
                <w:iCs/>
                <w:lang w:val="en-GB"/>
              </w:rPr>
              <w:t xml:space="preserve">, </w:t>
            </w:r>
            <w:proofErr w:type="spellStart"/>
            <w:r w:rsidRPr="00CB01FF">
              <w:rPr>
                <w:rFonts w:cstheme="minorHAnsi"/>
                <w:i/>
                <w:iCs/>
                <w:lang w:val="en-GB"/>
              </w:rPr>
              <w:t>roč</w:t>
            </w:r>
            <w:proofErr w:type="spellEnd"/>
            <w:r w:rsidRPr="00CB01FF">
              <w:rPr>
                <w:rFonts w:cstheme="minorHAnsi"/>
                <w:i/>
                <w:iCs/>
                <w:lang w:val="en-GB"/>
              </w:rPr>
              <w:t>. 101, č. 1, 2018, s. 4,24. ISSN 0032-6984</w:t>
            </w:r>
          </w:p>
          <w:p w14:paraId="329AA28C" w14:textId="692F0D71" w:rsidR="00F83BCB" w:rsidRPr="00CB01FF" w:rsidRDefault="00F83BCB" w:rsidP="00F83BCB">
            <w:pPr>
              <w:spacing w:after="0" w:line="240" w:lineRule="auto"/>
              <w:rPr>
                <w:rFonts w:eastAsia="Times New Roman" w:cstheme="minorHAnsi"/>
                <w:color w:val="000000"/>
                <w:lang w:eastAsia="sk-SK"/>
              </w:rPr>
            </w:pPr>
          </w:p>
        </w:tc>
      </w:tr>
      <w:tr w:rsidR="00FF6B5A" w:rsidRPr="00FF6B5A" w14:paraId="3B46A17F" w14:textId="77777777" w:rsidTr="00731E38">
        <w:trPr>
          <w:trHeight w:val="1170"/>
        </w:trPr>
        <w:tc>
          <w:tcPr>
            <w:tcW w:w="160" w:type="dxa"/>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w:t>
            </w:r>
            <w:r w:rsidRPr="00FF6B5A">
              <w:rPr>
                <w:rFonts w:ascii="Calibri" w:eastAsia="Times New Roman" w:hAnsi="Calibri" w:cs="Times New Roman"/>
                <w:i/>
                <w:iCs/>
                <w:color w:val="808080"/>
                <w:lang w:eastAsia="sk-SK"/>
              </w:rPr>
              <w:lastRenderedPageBreak/>
              <w:t xml:space="preserve">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146" w:type="dxa"/>
            <w:shd w:val="clear" w:color="auto" w:fill="auto"/>
            <w:hideMark/>
          </w:tcPr>
          <w:p w14:paraId="6038C017" w14:textId="495EBA39" w:rsidR="00FF6B5A" w:rsidRPr="00CB01FF" w:rsidRDefault="00F92527"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lastRenderedPageBreak/>
              <w:t xml:space="preserve">Monografia mala citeľný dopad osobitne na slovenskú a českú právnu doktrínu ale aj prax. Vzhľadom na paradigmatickú zmenu </w:t>
            </w:r>
            <w:proofErr w:type="spellStart"/>
            <w:r w:rsidRPr="00CB01FF">
              <w:rPr>
                <w:rFonts w:eastAsia="Times New Roman" w:cstheme="minorHAnsi"/>
                <w:color w:val="000000"/>
                <w:lang w:eastAsia="sk-SK"/>
              </w:rPr>
              <w:t>rekodifikovaného</w:t>
            </w:r>
            <w:proofErr w:type="spellEnd"/>
            <w:r w:rsidRPr="00CB01FF">
              <w:rPr>
                <w:rFonts w:eastAsia="Times New Roman" w:cstheme="minorHAnsi"/>
                <w:color w:val="000000"/>
                <w:lang w:eastAsia="sk-SK"/>
              </w:rPr>
              <w:t xml:space="preserve"> českého práva predstavila základný rámec princípov a východísk, od ktorého sa následne odvíjala detailná debata o jednotlivostiach – ako dokazujú aj početné ohlasy. Monografia tiež predstavuje štandardný referenčný zdroj pre výskum princípov a zásad súkromného práva nad rámec diskurzu o českej rekodifikácii.</w:t>
            </w:r>
          </w:p>
          <w:p w14:paraId="7A6898CA" w14:textId="77777777" w:rsidR="0047355F" w:rsidRPr="00CB01FF" w:rsidRDefault="0047355F" w:rsidP="00073EC9">
            <w:pPr>
              <w:spacing w:after="0" w:line="240" w:lineRule="auto"/>
              <w:rPr>
                <w:rFonts w:eastAsia="Times New Roman" w:cstheme="minorHAnsi"/>
                <w:color w:val="000000"/>
                <w:lang w:eastAsia="sk-SK"/>
              </w:rPr>
            </w:pPr>
          </w:p>
          <w:p w14:paraId="2CF12C8B" w14:textId="79AE1F96" w:rsidR="00CB01FF" w:rsidRPr="00CB01FF" w:rsidRDefault="00CB01FF" w:rsidP="00CB01FF">
            <w:pPr>
              <w:spacing w:after="0" w:line="240" w:lineRule="auto"/>
              <w:rPr>
                <w:rFonts w:eastAsia="Times New Roman" w:cstheme="minorHAnsi"/>
                <w:i/>
                <w:iCs/>
                <w:color w:val="000000"/>
                <w:lang w:eastAsia="sk-SK"/>
              </w:rPr>
            </w:pP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monograph</w:t>
            </w:r>
            <w:proofErr w:type="spellEnd"/>
            <w:r w:rsidRPr="00CB01FF">
              <w:rPr>
                <w:rFonts w:eastAsia="Times New Roman" w:cstheme="minorHAnsi"/>
                <w:i/>
                <w:iCs/>
                <w:color w:val="000000"/>
                <w:lang w:eastAsia="sk-SK"/>
              </w:rPr>
              <w:t xml:space="preserve"> had a </w:t>
            </w:r>
            <w:proofErr w:type="spellStart"/>
            <w:r w:rsidRPr="00CB01FF">
              <w:rPr>
                <w:rFonts w:eastAsia="Times New Roman" w:cstheme="minorHAnsi"/>
                <w:i/>
                <w:iCs/>
                <w:color w:val="000000"/>
                <w:lang w:eastAsia="sk-SK"/>
              </w:rPr>
              <w:t>noticeable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impact</w:t>
            </w:r>
            <w:proofErr w:type="spellEnd"/>
            <w:r w:rsidRPr="00CB01FF">
              <w:rPr>
                <w:rFonts w:eastAsia="Times New Roman" w:cstheme="minorHAnsi"/>
                <w:i/>
                <w:iCs/>
                <w:color w:val="000000"/>
                <w:lang w:eastAsia="sk-SK"/>
              </w:rPr>
              <w:t xml:space="preserve"> on Slovak and </w:t>
            </w:r>
            <w:proofErr w:type="spellStart"/>
            <w:r w:rsidRPr="00CB01FF">
              <w:rPr>
                <w:rFonts w:eastAsia="Times New Roman" w:cstheme="minorHAnsi"/>
                <w:i/>
                <w:iCs/>
                <w:color w:val="000000"/>
                <w:lang w:eastAsia="sk-SK"/>
              </w:rPr>
              <w:t>Czech</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legal</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doctrine</w:t>
            </w:r>
            <w:proofErr w:type="spellEnd"/>
            <w:r w:rsidRPr="00CB01FF">
              <w:rPr>
                <w:rFonts w:eastAsia="Times New Roman" w:cstheme="minorHAnsi"/>
                <w:i/>
                <w:iCs/>
                <w:color w:val="000000"/>
                <w:lang w:eastAsia="sk-SK"/>
              </w:rPr>
              <w:t xml:space="preserve"> and </w:t>
            </w:r>
            <w:proofErr w:type="spellStart"/>
            <w:r w:rsidRPr="00CB01FF">
              <w:rPr>
                <w:rFonts w:eastAsia="Times New Roman" w:cstheme="minorHAnsi"/>
                <w:i/>
                <w:iCs/>
                <w:color w:val="000000"/>
                <w:lang w:eastAsia="sk-SK"/>
              </w:rPr>
              <w:t>practice</w:t>
            </w:r>
            <w:proofErr w:type="spellEnd"/>
            <w:r w:rsidRPr="00CB01FF">
              <w:rPr>
                <w:rFonts w:eastAsia="Times New Roman" w:cstheme="minorHAnsi"/>
                <w:i/>
                <w:iCs/>
                <w:color w:val="000000"/>
                <w:lang w:eastAsia="sk-SK"/>
              </w:rPr>
              <w:t xml:space="preserve">. In </w:t>
            </w:r>
            <w:proofErr w:type="spellStart"/>
            <w:r w:rsidRPr="00CB01FF">
              <w:rPr>
                <w:rFonts w:eastAsia="Times New Roman" w:cstheme="minorHAnsi"/>
                <w:i/>
                <w:iCs/>
                <w:color w:val="000000"/>
                <w:lang w:eastAsia="sk-SK"/>
              </w:rPr>
              <w:t>view</w:t>
            </w:r>
            <w:proofErr w:type="spellEnd"/>
            <w:r w:rsidRPr="00CB01FF">
              <w:rPr>
                <w:rFonts w:eastAsia="Times New Roman" w:cstheme="minorHAnsi"/>
                <w:i/>
                <w:iCs/>
                <w:color w:val="000000"/>
                <w:lang w:eastAsia="sk-SK"/>
              </w:rPr>
              <w:t xml:space="preserve"> of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paradigmatic</w:t>
            </w:r>
            <w:proofErr w:type="spellEnd"/>
            <w:r w:rsidRPr="00CB01FF">
              <w:rPr>
                <w:rFonts w:eastAsia="Times New Roman" w:cstheme="minorHAnsi"/>
                <w:i/>
                <w:iCs/>
                <w:color w:val="000000"/>
                <w:lang w:eastAsia="sk-SK"/>
              </w:rPr>
              <w:t xml:space="preserve"> change of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recodified</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Czech</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law</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lastRenderedPageBreak/>
              <w:t>it</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presented</w:t>
            </w:r>
            <w:proofErr w:type="spellEnd"/>
            <w:r w:rsidRPr="00CB01FF">
              <w:rPr>
                <w:rFonts w:eastAsia="Times New Roman" w:cstheme="minorHAnsi"/>
                <w:i/>
                <w:iCs/>
                <w:color w:val="000000"/>
                <w:lang w:eastAsia="sk-SK"/>
              </w:rPr>
              <w:t xml:space="preserve"> a </w:t>
            </w:r>
            <w:proofErr w:type="spellStart"/>
            <w:r w:rsidRPr="00CB01FF">
              <w:rPr>
                <w:rFonts w:eastAsia="Times New Roman" w:cstheme="minorHAnsi"/>
                <w:i/>
                <w:iCs/>
                <w:color w:val="000000"/>
                <w:lang w:eastAsia="sk-SK"/>
              </w:rPr>
              <w:t>basic</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framework</w:t>
            </w:r>
            <w:proofErr w:type="spellEnd"/>
            <w:r w:rsidRPr="00CB01FF">
              <w:rPr>
                <w:rFonts w:eastAsia="Times New Roman" w:cstheme="minorHAnsi"/>
                <w:i/>
                <w:iCs/>
                <w:color w:val="000000"/>
                <w:lang w:eastAsia="sk-SK"/>
              </w:rPr>
              <w:t xml:space="preserve"> of </w:t>
            </w:r>
            <w:proofErr w:type="spellStart"/>
            <w:r w:rsidRPr="00CB01FF">
              <w:rPr>
                <w:rFonts w:eastAsia="Times New Roman" w:cstheme="minorHAnsi"/>
                <w:i/>
                <w:iCs/>
                <w:color w:val="000000"/>
                <w:lang w:eastAsia="sk-SK"/>
              </w:rPr>
              <w:t>principles</w:t>
            </w:r>
            <w:proofErr w:type="spellEnd"/>
            <w:r w:rsidRPr="00CB01FF">
              <w:rPr>
                <w:rFonts w:eastAsia="Times New Roman" w:cstheme="minorHAnsi"/>
                <w:i/>
                <w:iCs/>
                <w:color w:val="000000"/>
                <w:lang w:eastAsia="sk-SK"/>
              </w:rPr>
              <w:t xml:space="preserve"> and </w:t>
            </w:r>
            <w:proofErr w:type="spellStart"/>
            <w:r w:rsidRPr="00CB01FF">
              <w:rPr>
                <w:rFonts w:eastAsia="Times New Roman" w:cstheme="minorHAnsi"/>
                <w:i/>
                <w:iCs/>
                <w:color w:val="000000"/>
                <w:lang w:eastAsia="sk-SK"/>
              </w:rPr>
              <w:t>starting</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points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from</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which</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detailed</w:t>
            </w:r>
            <w:proofErr w:type="spellEnd"/>
            <w:r w:rsidRPr="00CB01FF">
              <w:rPr>
                <w:rFonts w:eastAsia="Times New Roman" w:cstheme="minorHAnsi"/>
                <w:i/>
                <w:iCs/>
                <w:color w:val="000000"/>
                <w:lang w:eastAsia="sk-SK"/>
              </w:rPr>
              <w:t xml:space="preserve"> debate on </w:t>
            </w:r>
            <w:proofErr w:type="spellStart"/>
            <w:r w:rsidRPr="00CB01FF">
              <w:rPr>
                <w:rFonts w:eastAsia="Times New Roman" w:cstheme="minorHAnsi"/>
                <w:i/>
                <w:iCs/>
                <w:color w:val="000000"/>
                <w:lang w:eastAsia="sk-SK"/>
              </w:rPr>
              <w:t>individual</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issues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was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subsequently</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developed</w:t>
            </w:r>
            <w:proofErr w:type="spellEnd"/>
            <w:r w:rsidRPr="00CB01FF">
              <w:rPr>
                <w:rFonts w:eastAsia="Times New Roman" w:cstheme="minorHAnsi"/>
                <w:i/>
                <w:iCs/>
                <w:color w:val="000000"/>
                <w:lang w:eastAsia="sk-SK"/>
              </w:rPr>
              <w:t xml:space="preserve"> - as </w:t>
            </w:r>
            <w:proofErr w:type="spellStart"/>
            <w:r w:rsidRPr="00CB01FF">
              <w:rPr>
                <w:rFonts w:eastAsia="Times New Roman" w:cstheme="minorHAnsi"/>
                <w:i/>
                <w:iCs/>
                <w:color w:val="000000"/>
                <w:lang w:eastAsia="sk-SK"/>
              </w:rPr>
              <w:t>evidenced</w:t>
            </w:r>
            <w:proofErr w:type="spellEnd"/>
            <w:r w:rsidRPr="00CB01FF">
              <w:rPr>
                <w:rFonts w:eastAsia="Times New Roman" w:cstheme="minorHAnsi"/>
                <w:i/>
                <w:iCs/>
                <w:color w:val="000000"/>
                <w:lang w:eastAsia="sk-SK"/>
              </w:rPr>
              <w:t xml:space="preserve"> by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numerous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responses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monograph</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also</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represents</w:t>
            </w:r>
            <w:proofErr w:type="spellEnd"/>
            <w:r w:rsidRPr="00CB01FF">
              <w:rPr>
                <w:rFonts w:eastAsia="Times New Roman" w:cstheme="minorHAnsi"/>
                <w:i/>
                <w:iCs/>
                <w:color w:val="000000"/>
                <w:lang w:eastAsia="sk-SK"/>
              </w:rPr>
              <w:t xml:space="preserve"> a </w:t>
            </w:r>
            <w:proofErr w:type="spellStart"/>
            <w:r w:rsidRPr="00CB01FF">
              <w:rPr>
                <w:rFonts w:eastAsia="Times New Roman" w:cstheme="minorHAnsi"/>
                <w:i/>
                <w:iCs/>
                <w:color w:val="000000"/>
                <w:lang w:eastAsia="sk-SK"/>
              </w:rPr>
              <w:t>standard</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reference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source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for</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research</w:t>
            </w:r>
            <w:proofErr w:type="spellEnd"/>
            <w:r w:rsidRPr="00CB01FF">
              <w:rPr>
                <w:rFonts w:eastAsia="Times New Roman" w:cstheme="minorHAnsi"/>
                <w:i/>
                <w:iCs/>
                <w:color w:val="000000"/>
                <w:lang w:eastAsia="sk-SK"/>
              </w:rPr>
              <w:t xml:space="preserve"> on </w:t>
            </w:r>
            <w:proofErr w:type="spellStart"/>
            <w:r w:rsidRPr="00CB01FF">
              <w:rPr>
                <w:rFonts w:eastAsia="Times New Roman" w:cstheme="minorHAnsi"/>
                <w:i/>
                <w:iCs/>
                <w:color w:val="000000"/>
                <w:lang w:eastAsia="sk-SK"/>
              </w:rPr>
              <w:t>private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law</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principles</w:t>
            </w:r>
            <w:proofErr w:type="spellEnd"/>
            <w:r w:rsidRPr="00CB01FF">
              <w:rPr>
                <w:rFonts w:eastAsia="Times New Roman" w:cstheme="minorHAnsi"/>
                <w:i/>
                <w:iCs/>
                <w:color w:val="000000"/>
                <w:lang w:eastAsia="sk-SK"/>
              </w:rPr>
              <w:t xml:space="preserve"> and </w:t>
            </w:r>
            <w:proofErr w:type="spellStart"/>
            <w:r w:rsidRPr="00CB01FF">
              <w:rPr>
                <w:rFonts w:eastAsia="Times New Roman" w:cstheme="minorHAnsi"/>
                <w:i/>
                <w:iCs/>
                <w:color w:val="000000"/>
                <w:lang w:eastAsia="sk-SK"/>
              </w:rPr>
              <w:t>principles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beyond</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discourse</w:t>
            </w:r>
            <w:proofErr w:type="spellEnd"/>
            <w:r w:rsidRPr="00CB01FF">
              <w:rPr>
                <w:rFonts w:eastAsia="Times New Roman" w:cstheme="minorHAnsi"/>
                <w:i/>
                <w:iCs/>
                <w:color w:val="000000"/>
                <w:lang w:eastAsia="sk-SK"/>
              </w:rPr>
              <w:t xml:space="preserve"> on </w:t>
            </w:r>
            <w:proofErr w:type="spellStart"/>
            <w:r w:rsidRPr="00CB01FF">
              <w:rPr>
                <w:rFonts w:eastAsia="Times New Roman" w:cstheme="minorHAnsi"/>
                <w:i/>
                <w:iCs/>
                <w:color w:val="000000"/>
                <w:lang w:eastAsia="sk-SK"/>
              </w:rPr>
              <w:t>Czech</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recodification</w:t>
            </w:r>
            <w:proofErr w:type="spellEnd"/>
            <w:r w:rsidRPr="00CB01FF">
              <w:rPr>
                <w:rFonts w:eastAsia="Times New Roman" w:cstheme="minorHAnsi"/>
                <w:i/>
                <w:iCs/>
                <w:color w:val="000000"/>
                <w:lang w:eastAsia="sk-SK"/>
              </w:rPr>
              <w:t>.</w:t>
            </w:r>
          </w:p>
        </w:tc>
      </w:tr>
      <w:tr w:rsidR="00FF6B5A" w:rsidRPr="00FF6B5A" w14:paraId="6B2AB384" w14:textId="77777777" w:rsidTr="00731E38">
        <w:trPr>
          <w:trHeight w:val="1290"/>
        </w:trPr>
        <w:tc>
          <w:tcPr>
            <w:tcW w:w="160" w:type="dxa"/>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611" w:type="dxa"/>
            <w:gridSpan w:val="2"/>
            <w:shd w:val="clear" w:color="auto" w:fill="DAE3F3"/>
            <w:vAlign w:val="center"/>
            <w:hideMark/>
          </w:tcPr>
          <w:p w14:paraId="7BC6F94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146" w:type="dxa"/>
            <w:shd w:val="clear" w:color="auto" w:fill="auto"/>
            <w:hideMark/>
          </w:tcPr>
          <w:p w14:paraId="0013BEE1" w14:textId="3C154E5D" w:rsidR="00FF6B5A" w:rsidRPr="00CB01FF" w:rsidRDefault="00615BB4"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Publikácia</w:t>
            </w:r>
            <w:r w:rsidR="00F92527" w:rsidRPr="00CB01FF">
              <w:rPr>
                <w:rFonts w:eastAsia="Times New Roman" w:cstheme="minorHAnsi"/>
                <w:color w:val="000000"/>
                <w:lang w:eastAsia="sk-SK"/>
              </w:rPr>
              <w:t xml:space="preserve"> </w:t>
            </w:r>
            <w:r w:rsidRPr="00CB01FF">
              <w:rPr>
                <w:rFonts w:eastAsia="Times New Roman" w:cstheme="minorHAnsi"/>
                <w:color w:val="000000"/>
                <w:lang w:eastAsia="sk-SK"/>
              </w:rPr>
              <w:t xml:space="preserve">sa využíva vo výučbe v treťom stupni, pri štúdiu </w:t>
            </w:r>
            <w:r w:rsidR="00F92527" w:rsidRPr="00CB01FF">
              <w:rPr>
                <w:rFonts w:eastAsia="Times New Roman" w:cstheme="minorHAnsi"/>
                <w:color w:val="000000"/>
                <w:lang w:eastAsia="sk-SK"/>
              </w:rPr>
              <w:t xml:space="preserve">občianskeho práva. </w:t>
            </w:r>
            <w:r w:rsidRPr="00CB01FF">
              <w:rPr>
                <w:rFonts w:eastAsia="Times New Roman" w:cstheme="minorHAnsi"/>
                <w:color w:val="000000"/>
                <w:lang w:eastAsia="sk-SK"/>
              </w:rPr>
              <w:t>Zároveň je využívaná pri výučbe komparatívnej metódy výskumu</w:t>
            </w:r>
            <w:r w:rsidR="001E5182" w:rsidRPr="00CB01FF">
              <w:rPr>
                <w:rFonts w:eastAsia="Times New Roman" w:cstheme="minorHAnsi"/>
                <w:color w:val="000000"/>
                <w:lang w:eastAsia="sk-SK"/>
              </w:rPr>
              <w:t xml:space="preserve"> v treťom stupni štúdia</w:t>
            </w:r>
            <w:r w:rsidRPr="00CB01FF">
              <w:rPr>
                <w:rFonts w:eastAsia="Times New Roman" w:cstheme="minorHAnsi"/>
                <w:color w:val="000000"/>
                <w:lang w:eastAsia="sk-SK"/>
              </w:rPr>
              <w:t xml:space="preserve">. </w:t>
            </w:r>
          </w:p>
          <w:p w14:paraId="0D58BEEB" w14:textId="77777777" w:rsidR="00E620D5" w:rsidRPr="00CB01FF" w:rsidRDefault="00E620D5" w:rsidP="00E620D5">
            <w:pPr>
              <w:spacing w:after="0" w:line="240" w:lineRule="auto"/>
              <w:rPr>
                <w:rFonts w:eastAsia="Times New Roman" w:cstheme="minorHAnsi"/>
                <w:color w:val="000000"/>
                <w:lang w:eastAsia="sk-SK"/>
              </w:rPr>
            </w:pPr>
          </w:p>
          <w:p w14:paraId="1B56C75B" w14:textId="0BF7C4AE" w:rsidR="00E620D5" w:rsidRPr="00CB01FF" w:rsidRDefault="00F92527" w:rsidP="00E620D5">
            <w:pPr>
              <w:spacing w:after="0" w:line="240" w:lineRule="auto"/>
              <w:rPr>
                <w:rFonts w:eastAsia="Times New Roman" w:cstheme="minorHAnsi"/>
                <w:color w:val="000000"/>
                <w:lang w:eastAsia="sk-SK"/>
              </w:rPr>
            </w:pP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publication</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is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used</w:t>
            </w:r>
            <w:proofErr w:type="spellEnd"/>
            <w:r w:rsidRPr="00CB01FF">
              <w:rPr>
                <w:rFonts w:eastAsia="Times New Roman" w:cstheme="minorHAnsi"/>
                <w:i/>
                <w:iCs/>
                <w:color w:val="000000"/>
                <w:lang w:eastAsia="sk-SK"/>
              </w:rPr>
              <w:t xml:space="preserve"> in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teaching</w:t>
            </w:r>
            <w:proofErr w:type="spellEnd"/>
            <w:r w:rsidRPr="00CB01FF">
              <w:rPr>
                <w:rFonts w:eastAsia="Times New Roman" w:cstheme="minorHAnsi"/>
                <w:i/>
                <w:iCs/>
                <w:color w:val="000000"/>
                <w:lang w:eastAsia="sk-SK"/>
              </w:rPr>
              <w:t xml:space="preserve"> of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third</w:t>
            </w:r>
            <w:proofErr w:type="spellEnd"/>
            <w:r w:rsidRPr="00CB01FF">
              <w:rPr>
                <w:rFonts w:eastAsia="Times New Roman" w:cstheme="minorHAnsi"/>
                <w:i/>
                <w:iCs/>
                <w:color w:val="000000"/>
                <w:lang w:eastAsia="sk-SK"/>
              </w:rPr>
              <w:t xml:space="preserve"> level, in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study of civil </w:t>
            </w:r>
            <w:proofErr w:type="spellStart"/>
            <w:r w:rsidRPr="00CB01FF">
              <w:rPr>
                <w:rFonts w:eastAsia="Times New Roman" w:cstheme="minorHAnsi"/>
                <w:i/>
                <w:iCs/>
                <w:color w:val="000000"/>
                <w:lang w:eastAsia="sk-SK"/>
              </w:rPr>
              <w:t>law</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It</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is</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also</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used</w:t>
            </w:r>
            <w:proofErr w:type="spellEnd"/>
            <w:r w:rsidRPr="00CB01FF">
              <w:rPr>
                <w:rFonts w:eastAsia="Times New Roman" w:cstheme="minorHAnsi"/>
                <w:i/>
                <w:iCs/>
                <w:color w:val="000000"/>
                <w:lang w:eastAsia="sk-SK"/>
              </w:rPr>
              <w:t xml:space="preserve"> in </w:t>
            </w:r>
            <w:proofErr w:type="spellStart"/>
            <w:r w:rsidRPr="00CB01FF">
              <w:rPr>
                <w:rFonts w:eastAsia="Times New Roman" w:cstheme="minorHAnsi"/>
                <w:i/>
                <w:iCs/>
                <w:color w:val="000000"/>
                <w:lang w:eastAsia="sk-SK"/>
              </w:rPr>
              <w:t>teaching</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comparative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research</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method</w:t>
            </w:r>
            <w:proofErr w:type="spellEnd"/>
            <w:r w:rsidRPr="00CB01FF">
              <w:rPr>
                <w:rFonts w:eastAsia="Times New Roman" w:cstheme="minorHAnsi"/>
                <w:i/>
                <w:iCs/>
                <w:color w:val="000000"/>
                <w:lang w:eastAsia="sk-SK"/>
              </w:rPr>
              <w:t xml:space="preserve"> in </w:t>
            </w:r>
            <w:proofErr w:type="spellStart"/>
            <w:r w:rsidRPr="00CB01FF">
              <w:rPr>
                <w:rFonts w:eastAsia="Times New Roman" w:cstheme="minorHAnsi"/>
                <w:i/>
                <w:iCs/>
                <w:color w:val="000000"/>
                <w:lang w:eastAsia="sk-SK"/>
              </w:rPr>
              <w:t>the</w:t>
            </w:r>
            <w:proofErr w:type="spellEnd"/>
            <w:r w:rsidRPr="00CB01FF">
              <w:rPr>
                <w:rFonts w:eastAsia="Times New Roman" w:cstheme="minorHAnsi"/>
                <w:i/>
                <w:iCs/>
                <w:color w:val="000000"/>
                <w:lang w:eastAsia="sk-SK"/>
              </w:rPr>
              <w:t xml:space="preserve"> </w:t>
            </w:r>
            <w:proofErr w:type="spellStart"/>
            <w:r w:rsidRPr="00CB01FF">
              <w:rPr>
                <w:rFonts w:eastAsia="Times New Roman" w:cstheme="minorHAnsi"/>
                <w:i/>
                <w:iCs/>
                <w:color w:val="000000"/>
                <w:lang w:eastAsia="sk-SK"/>
              </w:rPr>
              <w:t>third</w:t>
            </w:r>
            <w:proofErr w:type="spellEnd"/>
            <w:r w:rsidRPr="00CB01FF">
              <w:rPr>
                <w:rFonts w:eastAsia="Times New Roman" w:cstheme="minorHAnsi"/>
                <w:i/>
                <w:iCs/>
                <w:color w:val="000000"/>
                <w:lang w:eastAsia="sk-SK"/>
              </w:rPr>
              <w:t xml:space="preserve"> level of study</w:t>
            </w:r>
          </w:p>
        </w:tc>
      </w:tr>
      <w:tr w:rsidR="00FF6B5A" w:rsidRPr="00FF6B5A" w14:paraId="5D0976C9" w14:textId="77777777" w:rsidTr="00731E38">
        <w:trPr>
          <w:trHeight w:val="204"/>
        </w:trPr>
        <w:tc>
          <w:tcPr>
            <w:tcW w:w="160" w:type="dxa"/>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422" w:type="dxa"/>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89" w:type="dxa"/>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7146" w:type="dxa"/>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B61A49D" w14:textId="27FEC052" w:rsidR="003C7698" w:rsidRDefault="003C7698" w:rsidP="00CB01FF"/>
    <w:sectPr w:rsidR="003C7698"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4BD4" w14:textId="77777777" w:rsidR="00E17585" w:rsidRDefault="00E17585" w:rsidP="00816E73">
      <w:pPr>
        <w:spacing w:after="0" w:line="240" w:lineRule="auto"/>
      </w:pPr>
      <w:r>
        <w:separator/>
      </w:r>
    </w:p>
  </w:endnote>
  <w:endnote w:type="continuationSeparator" w:id="0">
    <w:p w14:paraId="00D38D03" w14:textId="77777777" w:rsidR="00E17585" w:rsidRDefault="00E17585"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2887" w14:textId="77777777" w:rsidR="00E17585" w:rsidRDefault="00E17585" w:rsidP="00816E73">
      <w:pPr>
        <w:spacing w:after="0" w:line="240" w:lineRule="auto"/>
      </w:pPr>
      <w:r>
        <w:separator/>
      </w:r>
    </w:p>
  </w:footnote>
  <w:footnote w:type="continuationSeparator" w:id="0">
    <w:p w14:paraId="689B91AF" w14:textId="77777777" w:rsidR="00E17585" w:rsidRDefault="00E17585"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874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1981"/>
    <w:rsid w:val="00073EC9"/>
    <w:rsid w:val="0008088C"/>
    <w:rsid w:val="00087B3E"/>
    <w:rsid w:val="000C473D"/>
    <w:rsid w:val="000D326C"/>
    <w:rsid w:val="00102D82"/>
    <w:rsid w:val="00112F47"/>
    <w:rsid w:val="001A42DD"/>
    <w:rsid w:val="001E5182"/>
    <w:rsid w:val="001F26CD"/>
    <w:rsid w:val="00222794"/>
    <w:rsid w:val="00255867"/>
    <w:rsid w:val="002E1DFA"/>
    <w:rsid w:val="002E39E8"/>
    <w:rsid w:val="003C7698"/>
    <w:rsid w:val="004038BC"/>
    <w:rsid w:val="00420F21"/>
    <w:rsid w:val="00422600"/>
    <w:rsid w:val="00432F02"/>
    <w:rsid w:val="0047355F"/>
    <w:rsid w:val="004A4A06"/>
    <w:rsid w:val="004C347F"/>
    <w:rsid w:val="004D5CBD"/>
    <w:rsid w:val="004E364A"/>
    <w:rsid w:val="004E4845"/>
    <w:rsid w:val="004F6F4A"/>
    <w:rsid w:val="00502F15"/>
    <w:rsid w:val="00532FE9"/>
    <w:rsid w:val="00546BD2"/>
    <w:rsid w:val="00551632"/>
    <w:rsid w:val="00555FFD"/>
    <w:rsid w:val="005622F0"/>
    <w:rsid w:val="00572798"/>
    <w:rsid w:val="005B1A42"/>
    <w:rsid w:val="005B4A19"/>
    <w:rsid w:val="00615BB4"/>
    <w:rsid w:val="00660AE0"/>
    <w:rsid w:val="00675F63"/>
    <w:rsid w:val="006849EB"/>
    <w:rsid w:val="006D0983"/>
    <w:rsid w:val="00731E38"/>
    <w:rsid w:val="007E4659"/>
    <w:rsid w:val="008062B7"/>
    <w:rsid w:val="00816E73"/>
    <w:rsid w:val="00852916"/>
    <w:rsid w:val="00852CC7"/>
    <w:rsid w:val="008B78D7"/>
    <w:rsid w:val="008E2108"/>
    <w:rsid w:val="00942518"/>
    <w:rsid w:val="009547F9"/>
    <w:rsid w:val="00975300"/>
    <w:rsid w:val="00980601"/>
    <w:rsid w:val="009B1D30"/>
    <w:rsid w:val="009B6DDF"/>
    <w:rsid w:val="009C64D6"/>
    <w:rsid w:val="00A23768"/>
    <w:rsid w:val="00A455BA"/>
    <w:rsid w:val="00B15040"/>
    <w:rsid w:val="00B22EA0"/>
    <w:rsid w:val="00B34BB1"/>
    <w:rsid w:val="00BA1526"/>
    <w:rsid w:val="00BA42A5"/>
    <w:rsid w:val="00C01D1D"/>
    <w:rsid w:val="00C40D4D"/>
    <w:rsid w:val="00C4632B"/>
    <w:rsid w:val="00C63E2F"/>
    <w:rsid w:val="00C86832"/>
    <w:rsid w:val="00CB01FF"/>
    <w:rsid w:val="00CE5D14"/>
    <w:rsid w:val="00D64B7C"/>
    <w:rsid w:val="00D733AB"/>
    <w:rsid w:val="00DB2771"/>
    <w:rsid w:val="00DF2508"/>
    <w:rsid w:val="00DF77E6"/>
    <w:rsid w:val="00E17585"/>
    <w:rsid w:val="00E6009F"/>
    <w:rsid w:val="00E620D5"/>
    <w:rsid w:val="00EA434E"/>
    <w:rsid w:val="00EC403D"/>
    <w:rsid w:val="00F40F87"/>
    <w:rsid w:val="00F83BCB"/>
    <w:rsid w:val="00F92527"/>
    <w:rsid w:val="00FE27EC"/>
    <w:rsid w:val="00FF4276"/>
    <w:rsid w:val="00FF6B5A"/>
    <w:rsid w:val="05CD50B2"/>
    <w:rsid w:val="3A200DAE"/>
    <w:rsid w:val="48452B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852572117">
      <w:bodyDiv w:val="1"/>
      <w:marLeft w:val="0"/>
      <w:marRight w:val="0"/>
      <w:marTop w:val="0"/>
      <w:marBottom w:val="0"/>
      <w:divBdr>
        <w:top w:val="none" w:sz="0" w:space="0" w:color="auto"/>
        <w:left w:val="none" w:sz="0" w:space="0" w:color="auto"/>
        <w:bottom w:val="none" w:sz="0" w:space="0" w:color="auto"/>
        <w:right w:val="none" w:sz="0" w:space="0" w:color="auto"/>
      </w:divBdr>
    </w:div>
    <w:div w:id="930429193">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D45C2-0051-4E19-8794-BDDD24306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3.xml><?xml version="1.0" encoding="utf-8"?>
<ds:datastoreItem xmlns:ds="http://schemas.openxmlformats.org/officeDocument/2006/customXml" ds:itemID="{B3D7E996-FD13-43A4-8243-72591468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E41FB0-DC06-463A-9BFF-F7B14A79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1865</Words>
  <Characters>10632</Characters>
  <Application>Microsoft Office Word</Application>
  <DocSecurity>0</DocSecurity>
  <Lines>88</Lines>
  <Paragraphs>24</Paragraphs>
  <ScaleCrop>false</ScaleCrop>
  <Company>Trnavska univerzita</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17</cp:revision>
  <dcterms:created xsi:type="dcterms:W3CDTF">2022-01-16T20:50:00Z</dcterms:created>
  <dcterms:modified xsi:type="dcterms:W3CDTF">2025-08-26T09:02:00Z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72700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