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2"/>
        <w:gridCol w:w="2194"/>
        <w:gridCol w:w="7141"/>
      </w:tblGrid>
      <w:tr w:rsidR="00FF6B5A" w:rsidRPr="00FF6B5A" w14:paraId="38D0CD8E" w14:textId="77777777" w:rsidTr="1F565230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06684C6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75A3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BD6A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4792A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F6ED05" w14:textId="77777777" w:rsidTr="1F565230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3D6A9AB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3DBE98C1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724038A" w14:textId="77777777" w:rsidTr="1F565230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2EFA88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219A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03B92B4F" w14:textId="77777777" w:rsidTr="1F565230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4BA8ADA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AEEC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745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53463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D5473D5" w14:textId="77777777" w:rsidTr="1F565230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71BF372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4FB4FC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D274F5F" w14:textId="77777777" w:rsidTr="1F565230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BECA74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0D9C3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50B7CF3D" w14:textId="77777777" w:rsidTr="1F565230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481CD1E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D04A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3E1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35317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7F923D2" w14:textId="77777777" w:rsidTr="1F565230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369640A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B63A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A6A7906" w14:textId="77777777" w:rsidR="00FF6B5A" w:rsidRPr="00FF6B5A" w:rsidRDefault="00F055E8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1B1AAF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240110FC" w14:textId="77777777" w:rsidTr="1F565230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1BDFF17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EB18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752D5F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68AF313E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6649BE5D" w14:textId="77777777" w:rsidTr="1F565230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57F557E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945C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5CFF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78CC7D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FF6B5A" w:rsidRPr="00FF6B5A" w14:paraId="0D462BED" w14:textId="77777777" w:rsidTr="1F565230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3618D64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E1D349" w14:textId="77777777" w:rsidR="00FF6B5A" w:rsidRPr="00FF6B5A" w:rsidRDefault="00F055E8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7F7381C4" w14:textId="673E88FD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0C473D" w:rsidRPr="00CB01FF">
              <w:rPr>
                <w:rFonts w:eastAsia="Times New Roman" w:cstheme="minorHAnsi"/>
                <w:color w:val="000000"/>
                <w:lang w:eastAsia="sk-SK"/>
              </w:rPr>
              <w:t>Eliáš</w:t>
            </w:r>
          </w:p>
        </w:tc>
      </w:tr>
      <w:tr w:rsidR="00FF6B5A" w:rsidRPr="00FF6B5A" w14:paraId="0B0CB2B5" w14:textId="77777777" w:rsidTr="1F565230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580FCF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AAA274" w14:textId="77777777" w:rsidR="00FF6B5A" w:rsidRPr="00FF6B5A" w:rsidRDefault="00F055E8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A2726EA" w14:textId="3AA79AC8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0C473D" w:rsidRPr="00CB01FF">
              <w:rPr>
                <w:rFonts w:eastAsia="Times New Roman" w:cstheme="minorHAnsi"/>
                <w:color w:val="000000"/>
                <w:lang w:eastAsia="sk-SK"/>
              </w:rPr>
              <w:t>Karel</w:t>
            </w:r>
          </w:p>
        </w:tc>
      </w:tr>
      <w:tr w:rsidR="00FF6B5A" w:rsidRPr="00FF6B5A" w14:paraId="04319611" w14:textId="77777777" w:rsidTr="1F565230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130791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BA2F938" w14:textId="77777777" w:rsidR="00FF6B5A" w:rsidRPr="00FF6B5A" w:rsidRDefault="00F055E8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3FAF36" w14:textId="43D2F465" w:rsidR="00FF6B5A" w:rsidRPr="00CB01FF" w:rsidRDefault="000C473D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Prof. Dr. </w:t>
            </w:r>
          </w:p>
        </w:tc>
      </w:tr>
      <w:tr w:rsidR="00FF6B5A" w:rsidRPr="00FF6B5A" w14:paraId="56709914" w14:textId="77777777" w:rsidTr="1F565230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56CFE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673E1CA" w14:textId="77777777" w:rsidR="00FF6B5A" w:rsidRPr="00FF6B5A" w:rsidRDefault="00F055E8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0B7CAEFF" w14:textId="360A1CF7" w:rsidR="000C473D" w:rsidRPr="00CB01FF" w:rsidRDefault="000C473D" w:rsidP="000C473D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  <w:r w:rsidRPr="00CB01FF">
              <w:rPr>
                <w:rFonts w:cstheme="minorHAnsi"/>
              </w:rPr>
              <w:t>https://www.portalvs.sk/regzam/detail/27260</w:t>
            </w:r>
          </w:p>
          <w:p w14:paraId="26A9AD78" w14:textId="4952171F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4D19C3C" w14:textId="77777777" w:rsidTr="1F565230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8AD6E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082922F" w14:textId="77777777" w:rsidR="00FF6B5A" w:rsidRPr="00FF6B5A" w:rsidRDefault="00F055E8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5C2F11FA" w14:textId="66DCE8C8" w:rsidR="00FF6B5A" w:rsidRPr="00CB01FF" w:rsidRDefault="00FF6B5A" w:rsidP="00422600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lang w:eastAsia="sk-SK"/>
              </w:rPr>
              <w:t> </w:t>
            </w:r>
            <w:r w:rsidR="000477FE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0477FE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0477FE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8E2108" w:rsidRPr="00FF6B5A" w14:paraId="5AE22338" w14:textId="77777777" w:rsidTr="1F565230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4863594D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2665BEF5" w14:textId="5AFE13C4" w:rsidR="008E2108" w:rsidRDefault="3F2FF5A0" w:rsidP="1F56523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F565230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285B8AA2" w14:textId="37DF2978" w:rsidR="008E2108" w:rsidRPr="00CB01FF" w:rsidRDefault="00CE5D1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A+</w:t>
            </w:r>
          </w:p>
        </w:tc>
      </w:tr>
      <w:tr w:rsidR="00FF6B5A" w:rsidRPr="00FF6B5A" w14:paraId="2755EA2A" w14:textId="77777777" w:rsidTr="1F565230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06E084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840DCC6" w14:textId="77777777" w:rsidR="00FF6B5A" w:rsidRDefault="00F055E8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3B623BE5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42A0A139" w14:textId="742BCB0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B0F0"/>
                <w:lang w:eastAsia="sk-SK"/>
              </w:rPr>
            </w:pPr>
            <w:r w:rsidRPr="00CB01FF">
              <w:rPr>
                <w:rFonts w:eastAsia="Times New Roman" w:cstheme="minorHAnsi"/>
                <w:i/>
                <w:iCs/>
                <w:lang w:eastAsia="sk-SK"/>
              </w:rPr>
              <w:lastRenderedPageBreak/>
              <w:t> </w:t>
            </w:r>
            <w:r w:rsidR="00942518" w:rsidRPr="00CB01FF">
              <w:rPr>
                <w:rFonts w:eastAsia="Times New Roman" w:cstheme="minorHAnsi"/>
                <w:b/>
                <w:color w:val="000000"/>
                <w:lang w:eastAsia="sk-SK"/>
              </w:rPr>
              <w:t>vedecký výstup</w:t>
            </w:r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/ </w:t>
            </w:r>
            <w:proofErr w:type="spellStart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>scientific</w:t>
            </w:r>
            <w:proofErr w:type="spellEnd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output</w:t>
            </w:r>
          </w:p>
        </w:tc>
      </w:tr>
      <w:tr w:rsidR="00FF6B5A" w:rsidRPr="00FF6B5A" w14:paraId="5CF1856E" w14:textId="77777777" w:rsidTr="1F565230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6051AA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CDC913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24BC0AA8" w14:textId="411B3B4B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CE5D14" w:rsidRPr="00CB01FF">
              <w:rPr>
                <w:rFonts w:eastAsia="Times New Roman" w:cstheme="minorHAnsi"/>
                <w:color w:val="000000"/>
                <w:lang w:eastAsia="sk-SK"/>
              </w:rPr>
              <w:t>20</w:t>
            </w:r>
            <w:r w:rsidR="00F40F87" w:rsidRPr="00CB01FF">
              <w:rPr>
                <w:rFonts w:eastAsia="Times New Roman" w:cstheme="minorHAnsi"/>
                <w:color w:val="000000"/>
                <w:lang w:eastAsia="sk-SK"/>
              </w:rPr>
              <w:t>0</w:t>
            </w:r>
            <w:r w:rsidR="00D875AA">
              <w:rPr>
                <w:rFonts w:eastAsia="Times New Roman" w:cstheme="minorHAnsi"/>
                <w:color w:val="000000"/>
                <w:lang w:eastAsia="sk-SK"/>
              </w:rPr>
              <w:t>8</w:t>
            </w:r>
          </w:p>
        </w:tc>
      </w:tr>
      <w:tr w:rsidR="00FF6B5A" w:rsidRPr="00FF6B5A" w14:paraId="70C2F838" w14:textId="77777777" w:rsidTr="00896FDC">
        <w:trPr>
          <w:trHeight w:val="1541"/>
        </w:trPr>
        <w:tc>
          <w:tcPr>
            <w:tcW w:w="0" w:type="auto"/>
            <w:shd w:val="clear" w:color="auto" w:fill="auto"/>
            <w:vAlign w:val="bottom"/>
            <w:hideMark/>
          </w:tcPr>
          <w:p w14:paraId="3898A1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28620AE" w14:textId="77777777" w:rsidR="00FF6B5A" w:rsidRPr="00FF6B5A" w:rsidRDefault="00F055E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7EA0900B" w14:textId="044D009A" w:rsidR="00422600" w:rsidRPr="00896FDC" w:rsidRDefault="001829D2" w:rsidP="001829D2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896FDC">
              <w:rPr>
                <w:rFonts w:eastAsia="Times New Roman" w:cstheme="minorHAnsi"/>
                <w:lang w:eastAsia="sk-SK"/>
              </w:rPr>
              <w:t>ID: 64724 | 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Občanský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zákoník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 (2) [textový dokument (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print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)] :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velký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 akademický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komentář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 : 2.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svazek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 §488-880 : úplný text zákona s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komentářem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,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judikaturou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 a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literaturou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podle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 xml:space="preserve"> stavu k 1.4.2008 / Eliáš, Karel [Autor, 3.85%]. – 1. vyd. – Praha (Česko) : Linde, 2008. – 1397-2639 s. [tlačená forma]. – (Zákony - </w:t>
            </w:r>
            <w:proofErr w:type="spellStart"/>
            <w:r w:rsidRPr="00896FDC">
              <w:rPr>
                <w:rFonts w:eastAsia="Times New Roman" w:cstheme="minorHAnsi"/>
                <w:lang w:eastAsia="sk-SK"/>
              </w:rPr>
              <w:t>komentáře</w:t>
            </w:r>
            <w:proofErr w:type="spellEnd"/>
            <w:r w:rsidRPr="00896FDC">
              <w:rPr>
                <w:rFonts w:eastAsia="Times New Roman" w:cstheme="minorHAnsi"/>
                <w:lang w:eastAsia="sk-SK"/>
              </w:rPr>
              <w:t>). – [recenzované]. – ISBN 978-80-7201-687-7</w:t>
            </w:r>
          </w:p>
        </w:tc>
      </w:tr>
      <w:tr w:rsidR="00FF6B5A" w:rsidRPr="00FF6B5A" w14:paraId="7043AB98" w14:textId="77777777" w:rsidTr="1F565230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02B970D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F2B6CC9" w14:textId="77777777" w:rsidR="00FF6B5A" w:rsidRPr="00FF6B5A" w:rsidRDefault="00F055E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5FF90BB9" w14:textId="2941455C" w:rsidR="00FF6B5A" w:rsidRPr="00CB01FF" w:rsidRDefault="00D875AA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D875AA">
              <w:rPr>
                <w:rFonts w:eastAsia="Times New Roman" w:cstheme="minorHAnsi"/>
                <w:color w:val="000000"/>
                <w:lang w:eastAsia="sk-SK"/>
              </w:rPr>
              <w:t>https://app.crepc.sk/?fn=detailBiblioForm&amp;sid=FE7B6BA02B67604AA9FF999E</w:t>
            </w:r>
          </w:p>
        </w:tc>
      </w:tr>
      <w:tr w:rsidR="00C86832" w:rsidRPr="00FF6B5A" w14:paraId="21498929" w14:textId="77777777" w:rsidTr="1F565230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6F1ADBEE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74742115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6262AED" w14:textId="77777777" w:rsidR="00C86832" w:rsidRPr="00CB01FF" w:rsidRDefault="00C86832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6BA9D2A2" w14:textId="77777777" w:rsidTr="1F565230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1D1FB3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429918C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9C19DA6" w14:textId="77777777" w:rsidR="00FF6B5A" w:rsidRPr="00FF6B5A" w:rsidRDefault="00F055E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03C9B177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51BFBC80" w14:textId="77777777" w:rsidTr="1F565230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D0277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B8038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86CD7C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29E661A" w14:textId="0E8964E9" w:rsidR="00FF6B5A" w:rsidRPr="00CB01FF" w:rsidRDefault="00FF6B5A" w:rsidP="00D875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DD2128C" w14:textId="77777777" w:rsidTr="1F565230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43AF58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D5F8A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3B2189C" w14:textId="77777777" w:rsidR="00FF6B5A" w:rsidRPr="00CB01FF" w:rsidRDefault="00F055E8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266D3A3" w14:textId="4FD5D66C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</w:p>
        </w:tc>
      </w:tr>
      <w:tr w:rsidR="00FF6B5A" w:rsidRPr="00FF6B5A" w14:paraId="3994E767" w14:textId="77777777" w:rsidTr="1F565230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1F1E41C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CE3C9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0F864A0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2438FED5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49B38A92" w14:textId="77777777" w:rsidTr="1F565230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07E32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70FC1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D8472C6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33DD09" w14:textId="69D9CF70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270C6842" w14:textId="77777777" w:rsidTr="1F565230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7D7D6E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5B7FC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1740FF49" w14:textId="77777777" w:rsidR="00FF6B5A" w:rsidRPr="00CB01FF" w:rsidRDefault="00F055E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CB01FF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 w:rsidRPr="00CB01FF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</w:t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lastRenderedPageBreak/>
                <w:t xml:space="preserve">do 200 slov v slovenskom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</w:tcPr>
          <w:p w14:paraId="28B14A5F" w14:textId="77777777" w:rsidR="00F055E8" w:rsidRPr="00F055E8" w:rsidRDefault="00F055E8" w:rsidP="00F055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055E8">
              <w:rPr>
                <w:rFonts w:eastAsia="Times New Roman" w:cstheme="minorHAnsi"/>
                <w:color w:val="000000"/>
                <w:lang w:eastAsia="sk-SK"/>
              </w:rPr>
              <w:lastRenderedPageBreak/>
              <w:t>Akademický komentár k Občianskemu zákonníku predstavuje pokus o reprezentáciu súčasnej doktríny českého súkromného práva pred jeho rekodifikáciou. Rozsiahly akademický komentár je unikátnym výstupom s jedinečnou metodológiou, primárne zameranou na výskum, ale užitočnou aj v aplikačnej praxi. Autor sa zaoberal základnými otázkami súkromného práva, vrátane záväzkového práva a majetkového práva. V jednotlivých častiach ponúka komentár k pozadiu, teoretickému ukotveniu a stavu právnej diskusie týkajúcej sa konkrétnych ustanovení zákona.</w:t>
            </w:r>
          </w:p>
          <w:p w14:paraId="6D13AE23" w14:textId="4AC65917" w:rsidR="00422600" w:rsidRPr="00F055E8" w:rsidRDefault="00422600" w:rsidP="004F6F4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0E3A4A1E" w14:textId="77777777" w:rsidTr="1F565230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220863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CCB09B" w14:textId="77777777" w:rsidR="00FF6B5A" w:rsidRPr="00FF6B5A" w:rsidRDefault="00F055E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6282C548" w14:textId="4D6DF235" w:rsidR="00422600" w:rsidRPr="00970649" w:rsidRDefault="003B53B7" w:rsidP="000731D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Academic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Commentary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to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Civil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Code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represents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an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attempt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to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represent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contemporary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doctrine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Czech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private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before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its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70649">
              <w:rPr>
                <w:rFonts w:eastAsia="Times New Roman" w:cstheme="minorHAnsi"/>
                <w:color w:val="000000"/>
                <w:lang w:eastAsia="sk-SK"/>
              </w:rPr>
              <w:t>recodification</w:t>
            </w:r>
            <w:proofErr w:type="spellEnd"/>
            <w:r w:rsidRPr="00970649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Extensive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Academic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Commentary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is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a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unique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output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with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a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unique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methodology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primarily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focused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on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research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but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also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useful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in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application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practice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author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dealt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with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fundamental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issues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private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including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obligations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and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property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. In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individual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parts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, he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offers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a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commentary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on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background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theoretical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anchoring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and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state of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legal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discourse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concerning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specific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provisions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="000731D2" w:rsidRPr="00970649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  <w:p w14:paraId="45D4C299" w14:textId="33BC299F" w:rsidR="003B53B7" w:rsidRPr="00970649" w:rsidRDefault="003B53B7" w:rsidP="000731D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715A9106" w14:textId="77777777" w:rsidTr="1F565230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D3A0EE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75AA1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6329FC7" w14:textId="4576D0A2" w:rsidR="00AD1391" w:rsidRPr="008313A9" w:rsidRDefault="00AD1391" w:rsidP="00A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313A9">
              <w:rPr>
                <w:rFonts w:cs="Arial"/>
              </w:rPr>
              <w:t xml:space="preserve">1. cena za odbornú publikáciu </w:t>
            </w:r>
            <w:r w:rsidR="00F77EB5">
              <w:rPr>
                <w:rFonts w:cs="Arial"/>
              </w:rPr>
              <w:t xml:space="preserve">v roku 2008 </w:t>
            </w:r>
            <w:r w:rsidRPr="008313A9">
              <w:rPr>
                <w:rFonts w:cs="Arial"/>
              </w:rPr>
              <w:t xml:space="preserve">/ 1st </w:t>
            </w:r>
            <w:proofErr w:type="spellStart"/>
            <w:r w:rsidRPr="008313A9">
              <w:rPr>
                <w:rFonts w:cs="Arial"/>
              </w:rPr>
              <w:t>prize</w:t>
            </w:r>
            <w:proofErr w:type="spellEnd"/>
            <w:r w:rsidRPr="008313A9">
              <w:rPr>
                <w:rFonts w:cs="Arial"/>
              </w:rPr>
              <w:t xml:space="preserve"> </w:t>
            </w:r>
            <w:proofErr w:type="spellStart"/>
            <w:r w:rsidRPr="008313A9">
              <w:rPr>
                <w:rFonts w:cs="Arial"/>
              </w:rPr>
              <w:t>for</w:t>
            </w:r>
            <w:proofErr w:type="spellEnd"/>
            <w:r w:rsidRPr="008313A9">
              <w:rPr>
                <w:rFonts w:cs="Arial"/>
              </w:rPr>
              <w:t xml:space="preserve"> </w:t>
            </w:r>
            <w:proofErr w:type="spellStart"/>
            <w:r w:rsidRPr="008313A9">
              <w:rPr>
                <w:rFonts w:cs="Arial"/>
              </w:rPr>
              <w:t>the</w:t>
            </w:r>
            <w:proofErr w:type="spellEnd"/>
            <w:r w:rsidRPr="008313A9">
              <w:rPr>
                <w:rFonts w:cs="Arial"/>
              </w:rPr>
              <w:t xml:space="preserve"> </w:t>
            </w:r>
            <w:proofErr w:type="spellStart"/>
            <w:r w:rsidRPr="008313A9">
              <w:rPr>
                <w:rFonts w:cs="Arial"/>
              </w:rPr>
              <w:t>professional</w:t>
            </w:r>
            <w:proofErr w:type="spellEnd"/>
            <w:r w:rsidRPr="008313A9">
              <w:rPr>
                <w:rFonts w:cs="Arial"/>
              </w:rPr>
              <w:t xml:space="preserve"> </w:t>
            </w:r>
            <w:proofErr w:type="spellStart"/>
            <w:r w:rsidRPr="008313A9">
              <w:rPr>
                <w:rFonts w:cs="Arial"/>
              </w:rPr>
              <w:t>publication</w:t>
            </w:r>
            <w:proofErr w:type="spellEnd"/>
            <w:r w:rsidR="00F77EB5">
              <w:rPr>
                <w:rFonts w:cs="Arial"/>
              </w:rPr>
              <w:t xml:space="preserve"> </w:t>
            </w:r>
            <w:proofErr w:type="spellStart"/>
            <w:r w:rsidR="00F77EB5">
              <w:rPr>
                <w:rFonts w:cs="Arial"/>
              </w:rPr>
              <w:t>for</w:t>
            </w:r>
            <w:proofErr w:type="spellEnd"/>
            <w:r w:rsidR="00F77EB5">
              <w:rPr>
                <w:rFonts w:cs="Arial"/>
              </w:rPr>
              <w:t xml:space="preserve"> 2008</w:t>
            </w:r>
          </w:p>
          <w:p w14:paraId="4F286384" w14:textId="77777777" w:rsidR="00AD1391" w:rsidRPr="008313A9" w:rsidRDefault="00AD1391" w:rsidP="00A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B7EB111" w14:textId="77777777" w:rsidR="00AD1391" w:rsidRPr="008313A9" w:rsidRDefault="00AD1391" w:rsidP="00A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lang w:val="en-US"/>
              </w:rPr>
            </w:pP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Ohlasy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/ Citations:</w:t>
            </w:r>
          </w:p>
          <w:p w14:paraId="265BCB85" w14:textId="77777777" w:rsidR="00AD1391" w:rsidRPr="008313A9" w:rsidRDefault="00AD1391" w:rsidP="00A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lang w:val="en-US"/>
              </w:rPr>
            </w:pPr>
            <w:r w:rsidRPr="008313A9">
              <w:rPr>
                <w:rFonts w:cs="Arial"/>
                <w:i/>
                <w:iCs/>
              </w:rPr>
              <w:t xml:space="preserve">2021 [1] KOLMAČKA, V. Práva z </w:t>
            </w:r>
            <w:proofErr w:type="spellStart"/>
            <w:r w:rsidRPr="008313A9">
              <w:rPr>
                <w:rFonts w:cs="Arial"/>
                <w:i/>
                <w:iCs/>
              </w:rPr>
              <w:t>vad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</w:rPr>
              <w:t>při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</w:rPr>
              <w:t>smíšeném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</w:rPr>
              <w:t>darování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= </w:t>
            </w:r>
            <w:proofErr w:type="spellStart"/>
            <w:r w:rsidRPr="008313A9">
              <w:rPr>
                <w:rFonts w:cs="Arial"/>
                <w:i/>
                <w:iCs/>
              </w:rPr>
              <w:t>Remedies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</w:rPr>
              <w:t>for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</w:rPr>
              <w:t>nonconformance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of </w:t>
            </w:r>
            <w:proofErr w:type="spellStart"/>
            <w:r w:rsidRPr="008313A9">
              <w:rPr>
                <w:rFonts w:cs="Arial"/>
                <w:i/>
                <w:iCs/>
              </w:rPr>
              <w:t>performance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in </w:t>
            </w:r>
            <w:proofErr w:type="spellStart"/>
            <w:r w:rsidRPr="008313A9">
              <w:rPr>
                <w:rFonts w:cs="Arial"/>
                <w:i/>
                <w:iCs/>
              </w:rPr>
              <w:t>terms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of </w:t>
            </w:r>
            <w:proofErr w:type="spellStart"/>
            <w:r w:rsidRPr="008313A9">
              <w:rPr>
                <w:rFonts w:cs="Arial"/>
                <w:i/>
                <w:iCs/>
              </w:rPr>
              <w:t>mixed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</w:rPr>
              <w:t>sale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</w:rPr>
              <w:t>with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</w:rPr>
              <w:t>donation</w:t>
            </w:r>
            <w:proofErr w:type="spellEnd"/>
            <w:r w:rsidRPr="008313A9">
              <w:rPr>
                <w:rFonts w:cs="Arial"/>
                <w:i/>
                <w:iCs/>
              </w:rPr>
              <w:t xml:space="preserve">. </w:t>
            </w:r>
            <w:r w:rsidRPr="008313A9">
              <w:rPr>
                <w:rFonts w:cs="Arial"/>
                <w:i/>
                <w:iCs/>
                <w:lang w:val="en-US"/>
              </w:rPr>
              <w:t xml:space="preserve">In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Časopis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pro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právní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vědu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a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praxi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,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roč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>. 29, č. 3, 2021, s. 454. ISSN 1210-9126 – SCOPUS</w:t>
            </w:r>
          </w:p>
          <w:p w14:paraId="2A9B67D6" w14:textId="77777777" w:rsidR="00AD1391" w:rsidRPr="008313A9" w:rsidRDefault="00AD1391" w:rsidP="00A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lang w:val="en-US"/>
              </w:rPr>
            </w:pPr>
            <w:r w:rsidRPr="008313A9">
              <w:rPr>
                <w:rFonts w:cs="Arial"/>
                <w:i/>
                <w:iCs/>
                <w:lang w:val="en-US"/>
              </w:rPr>
              <w:t xml:space="preserve">2020 [4] HLUŠÁK, M. O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zodpovednosti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postupcu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pohľadávky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voči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postupníkovi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. In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Súkromné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právo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,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roč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>. 6, č. 4, 2020, s. 155. ISSN 1339-8652</w:t>
            </w:r>
          </w:p>
          <w:p w14:paraId="26EB5143" w14:textId="77777777" w:rsidR="00AD1391" w:rsidRPr="008313A9" w:rsidRDefault="00AD1391" w:rsidP="00A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lang w:val="en-US"/>
              </w:rPr>
            </w:pPr>
            <w:r w:rsidRPr="008313A9">
              <w:rPr>
                <w:rFonts w:cs="Arial"/>
                <w:i/>
                <w:iCs/>
                <w:lang w:val="en-US"/>
              </w:rPr>
              <w:t xml:space="preserve">2019 [3] KRÁLÍK, M. - LAVICKÝ, P.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Právo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zřeknout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se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možnosti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odvolání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daru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pro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hrubý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nevděk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obdarovaného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a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cizoložství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obdarovaného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jako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důvod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pro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odvolání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daru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. In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Soudní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rozhledy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,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roč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>. 25, č. 2, 2019, s. 71. ISSN 1211-4405</w:t>
            </w:r>
          </w:p>
          <w:p w14:paraId="2C994CFC" w14:textId="77777777" w:rsidR="00AD1391" w:rsidRPr="008313A9" w:rsidRDefault="00AD1391" w:rsidP="00A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lang w:val="en-US"/>
              </w:rPr>
            </w:pPr>
            <w:r w:rsidRPr="008313A9">
              <w:rPr>
                <w:rFonts w:cs="Arial"/>
                <w:i/>
                <w:iCs/>
                <w:lang w:val="en-US"/>
              </w:rPr>
              <w:t xml:space="preserve">2019 [3] PETROV, J. - VÝTISK, M. - BERAN, V. a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kol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.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Občanský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zákoník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>. Praha : C.H. Beck, 2019, s. XLVII. ISBN 978-80-7400-747-7</w:t>
            </w:r>
          </w:p>
          <w:p w14:paraId="102B2AA1" w14:textId="77777777" w:rsidR="00AD1391" w:rsidRPr="008313A9" w:rsidRDefault="00AD1391" w:rsidP="00A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lang w:val="en-US"/>
              </w:rPr>
            </w:pPr>
            <w:r w:rsidRPr="008313A9">
              <w:rPr>
                <w:rFonts w:cs="Arial"/>
                <w:i/>
                <w:iCs/>
                <w:lang w:val="en-US"/>
              </w:rPr>
              <w:t xml:space="preserve">2018 [4] LAZAR, J. a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kol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.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Občianske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právo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hmotné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. 2.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zväzok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. Bratislava : </w:t>
            </w:r>
            <w:proofErr w:type="spellStart"/>
            <w:r w:rsidRPr="008313A9">
              <w:rPr>
                <w:rFonts w:cs="Arial"/>
                <w:i/>
                <w:iCs/>
                <w:lang w:val="en-US"/>
              </w:rPr>
              <w:t>Iuris</w:t>
            </w:r>
            <w:proofErr w:type="spellEnd"/>
            <w:r w:rsidRPr="008313A9">
              <w:rPr>
                <w:rFonts w:cs="Arial"/>
                <w:i/>
                <w:iCs/>
                <w:lang w:val="en-US"/>
              </w:rPr>
              <w:t xml:space="preserve"> Libri, 2018, s. 437. ISBN 978-80-89635-35-1</w:t>
            </w:r>
          </w:p>
          <w:p w14:paraId="329AA28C" w14:textId="692F0D71" w:rsidR="00F83BCB" w:rsidRPr="00CB01FF" w:rsidRDefault="00F83BCB" w:rsidP="00F83BCB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3B46A17F" w14:textId="77777777" w:rsidTr="1F565230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A7A8D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AA311D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4982BEB0" w14:textId="391C9167" w:rsidR="00F77EB5" w:rsidRPr="00CB01FF" w:rsidRDefault="00F77EB5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Výstup</w:t>
            </w:r>
            <w:r w:rsidR="00E65AB9">
              <w:rPr>
                <w:rFonts w:eastAsia="Times New Roman" w:cstheme="minorHAnsi"/>
                <w:color w:val="000000"/>
                <w:lang w:eastAsia="sk-SK"/>
              </w:rPr>
              <w:t xml:space="preserve">, či už </w:t>
            </w:r>
            <w:r w:rsidR="00DB4D47">
              <w:rPr>
                <w:rFonts w:eastAsia="Times New Roman" w:cstheme="minorHAnsi"/>
                <w:color w:val="000000"/>
                <w:lang w:eastAsia="sk-SK"/>
              </w:rPr>
              <w:t>samotného autora</w:t>
            </w:r>
            <w:r w:rsidR="00E65AB9">
              <w:rPr>
                <w:rFonts w:eastAsia="Times New Roman" w:cstheme="minorHAnsi"/>
                <w:color w:val="000000"/>
                <w:lang w:eastAsia="sk-SK"/>
              </w:rPr>
              <w:t>, alebo celý koncept komentára autorského kolektívu pod jeho vedením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zarezonoval v právnej doktríne aj právnej praxi, stal sa klasickým referenčným dielom pre </w:t>
            </w:r>
            <w:r w:rsidR="00670534">
              <w:rPr>
                <w:rFonts w:eastAsia="Times New Roman" w:cstheme="minorHAnsi"/>
                <w:color w:val="000000"/>
                <w:lang w:eastAsia="sk-SK"/>
              </w:rPr>
              <w:t>komplikované problémy súkromného práva</w:t>
            </w:r>
            <w:r w:rsidR="00E65AB9">
              <w:rPr>
                <w:rFonts w:eastAsia="Times New Roman" w:cstheme="minorHAnsi"/>
                <w:color w:val="000000"/>
                <w:lang w:eastAsia="sk-SK"/>
              </w:rPr>
              <w:t xml:space="preserve"> v právnej doktríne ale aj v judikatúre (viac než 100 odkazov na komentár v rozhodovacej praxi českého najvyššieho súdu)</w:t>
            </w:r>
            <w:r>
              <w:rPr>
                <w:rFonts w:eastAsia="Times New Roman" w:cstheme="minorHAnsi"/>
                <w:color w:val="000000"/>
                <w:lang w:eastAsia="sk-SK"/>
              </w:rPr>
              <w:t>. Osobitný význam získal pre slovenské právne prostredie</w:t>
            </w:r>
            <w:r w:rsidR="00670534">
              <w:rPr>
                <w:rFonts w:eastAsia="Times New Roman" w:cstheme="minorHAnsi"/>
                <w:color w:val="000000"/>
                <w:lang w:eastAsia="sk-SK"/>
              </w:rPr>
              <w:t xml:space="preserve">, keďže sa zaoberá právnym predpisom, ktorého veľká časť platí v súčasnosti ešte na Slovensku. Rovnako je využiteľný v medzinárodnom komparatívnom </w:t>
            </w:r>
            <w:r>
              <w:rPr>
                <w:rFonts w:eastAsia="Times New Roman" w:cstheme="minorHAnsi"/>
                <w:color w:val="000000"/>
                <w:lang w:eastAsia="sk-SK"/>
              </w:rPr>
              <w:t>výskum</w:t>
            </w:r>
            <w:r w:rsidR="00670534">
              <w:rPr>
                <w:rFonts w:eastAsia="Times New Roman" w:cstheme="minorHAnsi"/>
                <w:color w:val="000000"/>
                <w:lang w:eastAsia="sk-SK"/>
              </w:rPr>
              <w:t>e</w:t>
            </w:r>
            <w:r>
              <w:rPr>
                <w:rFonts w:eastAsia="Times New Roman" w:cstheme="minorHAnsi"/>
                <w:color w:val="000000"/>
                <w:lang w:eastAsia="sk-SK"/>
              </w:rPr>
              <w:t>, keďže podrobne mapuje stav právneho diskurzu o  českom súkromnom práve</w:t>
            </w:r>
            <w:r w:rsidR="00670534">
              <w:rPr>
                <w:rFonts w:eastAsia="Times New Roman" w:cstheme="minorHAnsi"/>
                <w:color w:val="000000"/>
                <w:lang w:eastAsia="sk-SK"/>
              </w:rPr>
              <w:t>, ktoré platilo do jeho rekodifikácie</w:t>
            </w:r>
            <w:r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  <w:p w14:paraId="7A6898CA" w14:textId="77777777" w:rsidR="0047355F" w:rsidRPr="00CB01FF" w:rsidRDefault="0047355F" w:rsidP="00073EC9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CF12C8B" w14:textId="455FA417" w:rsidR="00CB01FF" w:rsidRPr="00CB01FF" w:rsidRDefault="00E65AB9" w:rsidP="00CB01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both</w:t>
            </w:r>
            <w:proofErr w:type="spellEnd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parts</w:t>
            </w:r>
            <w:proofErr w:type="spellEnd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written</w:t>
            </w:r>
            <w:proofErr w:type="spellEnd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by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author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and </w:t>
            </w:r>
            <w:proofErr w:type="spellStart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also</w:t>
            </w:r>
            <w:proofErr w:type="spellEnd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whole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concept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commentary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under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author's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leadership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has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resonated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doctrine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practice</w:t>
            </w:r>
            <w:proofErr w:type="spellEnd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has </w:t>
            </w:r>
            <w:proofErr w:type="spellStart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since</w:t>
            </w:r>
            <w:proofErr w:type="spellEnd"/>
            <w:r w:rsidR="00DB4D47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become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classic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reference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lastRenderedPageBreak/>
              <w:t>work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complicated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problems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private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doctrine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but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also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jurisprudence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(more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than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100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references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commentary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decision-making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practice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Czech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Supreme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Court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).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has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acquired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special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significance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Slovak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environment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as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deals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with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legislation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large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part of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which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still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force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Slovakia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today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also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useful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international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comparative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research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as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maps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detail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state of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discourse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on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Czech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private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was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force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before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its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recodification</w:t>
            </w:r>
            <w:proofErr w:type="spellEnd"/>
            <w:r w:rsidRPr="00E65AB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F6B5A" w:rsidRPr="00FF6B5A" w14:paraId="6B2AB384" w14:textId="77777777" w:rsidTr="1F565230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E46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7BC6F94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013BEE1" w14:textId="6BB75F3E" w:rsidR="00FF6B5A" w:rsidRPr="00CB01FF" w:rsidRDefault="00615BB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Publikácia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>sa využíva vo výučbe v</w:t>
            </w:r>
            <w:r w:rsidR="00AD1391">
              <w:rPr>
                <w:rFonts w:eastAsia="Times New Roman" w:cstheme="minorHAnsi"/>
                <w:color w:val="000000"/>
                <w:lang w:eastAsia="sk-SK"/>
              </w:rPr>
              <w:t xml:space="preserve">o všetkých stupňoch výučby, keďže reprezentuje podrobný akademický rozbor </w:t>
            </w:r>
            <w:r w:rsidR="00F811B6">
              <w:rPr>
                <w:rFonts w:eastAsia="Times New Roman" w:cstheme="minorHAnsi"/>
                <w:color w:val="000000"/>
                <w:lang w:eastAsia="sk-SK"/>
              </w:rPr>
              <w:t>pôvodného českého občianskeho zákonníka, ešte vo veľkej časti v podobnom znení, ako na Slovensku.</w:t>
            </w:r>
            <w:r w:rsidR="00AD1391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>Zároveň je využívaná pri výučbe komparatívnej metódy výskumu</w:t>
            </w:r>
            <w:r w:rsidR="001E5182" w:rsidRPr="00CB01FF">
              <w:rPr>
                <w:rFonts w:eastAsia="Times New Roman" w:cstheme="minorHAnsi"/>
                <w:color w:val="000000"/>
                <w:lang w:eastAsia="sk-SK"/>
              </w:rPr>
              <w:t xml:space="preserve"> v treťom stupni štúdia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</w:p>
          <w:p w14:paraId="0D58BEEB" w14:textId="77777777" w:rsidR="00E620D5" w:rsidRPr="00CB01FF" w:rsidRDefault="00E620D5" w:rsidP="00E620D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56C75B" w14:textId="5841381C" w:rsidR="00E620D5" w:rsidRPr="00CB01FF" w:rsidRDefault="00F811B6" w:rsidP="00E620D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at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all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levels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education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as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represents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detailed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academic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analysis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original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Czech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Civil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Code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still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largely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a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similar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wording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Slovakia. At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same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time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comparative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research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method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third</w:t>
            </w:r>
            <w:proofErr w:type="spellEnd"/>
            <w:r w:rsidRPr="00F811B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 of study.</w:t>
            </w:r>
          </w:p>
        </w:tc>
      </w:tr>
      <w:tr w:rsidR="00FF6B5A" w:rsidRPr="00FF6B5A" w14:paraId="5D0976C9" w14:textId="77777777" w:rsidTr="1F565230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6035B76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9CC5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15BA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6170AE3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B61A49D" w14:textId="27FEC052" w:rsidR="003C7698" w:rsidRDefault="003C7698" w:rsidP="00CB01FF"/>
    <w:sectPr w:rsidR="003C7698" w:rsidSect="008E210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1600" w14:textId="77777777" w:rsidR="00D70722" w:rsidRDefault="00D70722" w:rsidP="00816E73">
      <w:pPr>
        <w:spacing w:after="0" w:line="240" w:lineRule="auto"/>
      </w:pPr>
      <w:r>
        <w:separator/>
      </w:r>
    </w:p>
  </w:endnote>
  <w:endnote w:type="continuationSeparator" w:id="0">
    <w:p w14:paraId="0E03FE55" w14:textId="77777777" w:rsidR="00D70722" w:rsidRDefault="00D70722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7713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F9F0" w14:textId="77777777" w:rsidR="00A23768" w:rsidRDefault="00A23768">
    <w:pPr>
      <w:pStyle w:val="Pta"/>
    </w:pPr>
    <w:r w:rsidRPr="00A23768">
      <w:t>T_Z_VTCAj_1/ 2020</w:t>
    </w:r>
  </w:p>
  <w:p w14:paraId="52AD5802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33F8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D381" w14:textId="77777777" w:rsidR="00D70722" w:rsidRDefault="00D70722" w:rsidP="00816E73">
      <w:pPr>
        <w:spacing w:after="0" w:line="240" w:lineRule="auto"/>
      </w:pPr>
      <w:r>
        <w:separator/>
      </w:r>
    </w:p>
  </w:footnote>
  <w:footnote w:type="continuationSeparator" w:id="0">
    <w:p w14:paraId="543D102F" w14:textId="77777777" w:rsidR="00D70722" w:rsidRDefault="00D70722" w:rsidP="00816E73">
      <w:pPr>
        <w:spacing w:after="0" w:line="240" w:lineRule="auto"/>
      </w:pPr>
      <w:r>
        <w:continuationSeparator/>
      </w:r>
    </w:p>
  </w:footnote>
  <w:footnote w:id="1">
    <w:p w14:paraId="2CD787C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3803475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8694691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09C50F4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7E6FDA3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239D4BEE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476AAA6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377D7D3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6438A74D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FB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520C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A3E7C4A" wp14:editId="1A32E067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3AA4514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920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9F9"/>
    <w:multiLevelType w:val="hybridMultilevel"/>
    <w:tmpl w:val="3C04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37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11981"/>
    <w:rsid w:val="000215ED"/>
    <w:rsid w:val="000477FE"/>
    <w:rsid w:val="000731D2"/>
    <w:rsid w:val="00073EC9"/>
    <w:rsid w:val="0008088C"/>
    <w:rsid w:val="00087B3E"/>
    <w:rsid w:val="000C473D"/>
    <w:rsid w:val="000D326C"/>
    <w:rsid w:val="00102D82"/>
    <w:rsid w:val="00112F47"/>
    <w:rsid w:val="001829D2"/>
    <w:rsid w:val="001A42DD"/>
    <w:rsid w:val="001E5182"/>
    <w:rsid w:val="001E7A34"/>
    <w:rsid w:val="001F26CD"/>
    <w:rsid w:val="00222794"/>
    <w:rsid w:val="00255867"/>
    <w:rsid w:val="00345296"/>
    <w:rsid w:val="00356ED1"/>
    <w:rsid w:val="003B53B7"/>
    <w:rsid w:val="003C7698"/>
    <w:rsid w:val="004038BC"/>
    <w:rsid w:val="00422600"/>
    <w:rsid w:val="0047355F"/>
    <w:rsid w:val="00480D1F"/>
    <w:rsid w:val="004A4A06"/>
    <w:rsid w:val="004C347F"/>
    <w:rsid w:val="004D5CBD"/>
    <w:rsid w:val="004D719D"/>
    <w:rsid w:val="004E364A"/>
    <w:rsid w:val="004E4845"/>
    <w:rsid w:val="004F6F4A"/>
    <w:rsid w:val="00502F15"/>
    <w:rsid w:val="00532FE9"/>
    <w:rsid w:val="00546BD2"/>
    <w:rsid w:val="00555FFD"/>
    <w:rsid w:val="005622F0"/>
    <w:rsid w:val="00572798"/>
    <w:rsid w:val="005B4A19"/>
    <w:rsid w:val="00615BB4"/>
    <w:rsid w:val="00670534"/>
    <w:rsid w:val="00675F63"/>
    <w:rsid w:val="00677E01"/>
    <w:rsid w:val="006849EB"/>
    <w:rsid w:val="008062B7"/>
    <w:rsid w:val="00816E73"/>
    <w:rsid w:val="00852CC7"/>
    <w:rsid w:val="00896FDC"/>
    <w:rsid w:val="008B78D7"/>
    <w:rsid w:val="008E2108"/>
    <w:rsid w:val="00942518"/>
    <w:rsid w:val="009451CC"/>
    <w:rsid w:val="009547F9"/>
    <w:rsid w:val="00970649"/>
    <w:rsid w:val="00975300"/>
    <w:rsid w:val="00980601"/>
    <w:rsid w:val="009B1D30"/>
    <w:rsid w:val="009B6DDF"/>
    <w:rsid w:val="009C64D6"/>
    <w:rsid w:val="00A23768"/>
    <w:rsid w:val="00A23D29"/>
    <w:rsid w:val="00A455BA"/>
    <w:rsid w:val="00AD1391"/>
    <w:rsid w:val="00B06427"/>
    <w:rsid w:val="00B15040"/>
    <w:rsid w:val="00B22EA0"/>
    <w:rsid w:val="00BA1526"/>
    <w:rsid w:val="00BA42A5"/>
    <w:rsid w:val="00C40D4D"/>
    <w:rsid w:val="00C63E2F"/>
    <w:rsid w:val="00C86832"/>
    <w:rsid w:val="00CB01FF"/>
    <w:rsid w:val="00CD772C"/>
    <w:rsid w:val="00CE5D14"/>
    <w:rsid w:val="00D64B7C"/>
    <w:rsid w:val="00D70722"/>
    <w:rsid w:val="00D733AB"/>
    <w:rsid w:val="00D875AA"/>
    <w:rsid w:val="00DB4D47"/>
    <w:rsid w:val="00DF77E6"/>
    <w:rsid w:val="00E41D6F"/>
    <w:rsid w:val="00E620D5"/>
    <w:rsid w:val="00E65AB9"/>
    <w:rsid w:val="00E9042A"/>
    <w:rsid w:val="00EA434E"/>
    <w:rsid w:val="00EB12D9"/>
    <w:rsid w:val="00EC403D"/>
    <w:rsid w:val="00F055E8"/>
    <w:rsid w:val="00F40F87"/>
    <w:rsid w:val="00F77EB5"/>
    <w:rsid w:val="00F811B6"/>
    <w:rsid w:val="00F83BCB"/>
    <w:rsid w:val="00F92527"/>
    <w:rsid w:val="00FC7B17"/>
    <w:rsid w:val="00FE27EC"/>
    <w:rsid w:val="00FF4276"/>
    <w:rsid w:val="00FF6B5A"/>
    <w:rsid w:val="1F565230"/>
    <w:rsid w:val="3F2FF5A0"/>
    <w:rsid w:val="4F76AC87"/>
    <w:rsid w:val="54F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5338"/>
  <w15:docId w15:val="{EB62095B-05E5-40B4-89EC-704BB8F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C769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C7698"/>
    <w:pPr>
      <w:ind w:left="720"/>
      <w:contextualSpacing/>
    </w:pPr>
  </w:style>
  <w:style w:type="paragraph" w:customStyle="1" w:styleId="paragraph">
    <w:name w:val="paragraph"/>
    <w:basedOn w:val="Normlny"/>
    <w:rsid w:val="00B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22EA0"/>
  </w:style>
  <w:style w:type="character" w:customStyle="1" w:styleId="spellingerror">
    <w:name w:val="spellingerror"/>
    <w:basedOn w:val="Predvolenpsmoodseku"/>
    <w:rsid w:val="00B22EA0"/>
  </w:style>
  <w:style w:type="character" w:customStyle="1" w:styleId="eop">
    <w:name w:val="eop"/>
    <w:basedOn w:val="Predvolenpsmoodseku"/>
    <w:rsid w:val="00B22EA0"/>
  </w:style>
  <w:style w:type="character" w:customStyle="1" w:styleId="authorname">
    <w:name w:val="author_name"/>
    <w:basedOn w:val="Predvolenpsmoodseku"/>
    <w:rsid w:val="004A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0CE2E-25AC-4B8A-A232-2A1B054E2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81BEB-E626-408B-B8DD-4E62805D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701BF6-4533-40AC-92C2-5008F876D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1872</Words>
  <Characters>10675</Characters>
  <Application>Microsoft Office Word</Application>
  <DocSecurity>0</DocSecurity>
  <Lines>88</Lines>
  <Paragraphs>25</Paragraphs>
  <ScaleCrop>false</ScaleCrop>
  <Company>Trnavska univerzita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20</cp:revision>
  <dcterms:created xsi:type="dcterms:W3CDTF">2022-01-16T21:52:00Z</dcterms:created>
  <dcterms:modified xsi:type="dcterms:W3CDTF">2025-08-26T09:02:00Z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72800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