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"/>
        <w:gridCol w:w="393"/>
        <w:gridCol w:w="1971"/>
        <w:gridCol w:w="7394"/>
      </w:tblGrid>
      <w:tr w:rsidR="00FF6B5A" w:rsidRPr="00FF6B5A" w14:paraId="38D0CD8E" w14:textId="77777777" w:rsidTr="56705B5E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06684C6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75A3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BD6A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44792A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53F6ED05" w14:textId="77777777" w:rsidTr="56705B5E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3D6A9AB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3DBE98C1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FF6B5A" w14:paraId="4724038A" w14:textId="77777777" w:rsidTr="56705B5E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42EFA88A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F219A2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FF6B5A" w14:paraId="03B92B4F" w14:textId="77777777" w:rsidTr="56705B5E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4BA8ADA8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AEEC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745F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653463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6D5473D5" w14:textId="77777777" w:rsidTr="56705B5E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71BF372F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4FB4FCD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FF6B5A" w14:paraId="5D274F5F" w14:textId="77777777" w:rsidTr="56705B5E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5BECA74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0D9C35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FF6B5A" w14:paraId="50B7CF3D" w14:textId="77777777" w:rsidTr="56705B5E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481CD1E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AD04A1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73E1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135317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27F923D2" w14:textId="77777777" w:rsidTr="56705B5E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369640A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3B63A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2A6A7906" w14:textId="77777777" w:rsidR="00FF6B5A" w:rsidRPr="00FF6B5A" w:rsidRDefault="005F64A8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51B1AAF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240110FC" w14:textId="77777777" w:rsidTr="56705B5E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1BDFF17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3EB18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752D5F5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68AF313E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F6B5A" w:rsidRPr="00FF6B5A" w14:paraId="6649BE5D" w14:textId="77777777" w:rsidTr="56705B5E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57F557E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3945C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5CFF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578CC7D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</w:tr>
      <w:tr w:rsidR="00FF6B5A" w:rsidRPr="00FF6B5A" w14:paraId="0D462BED" w14:textId="77777777" w:rsidTr="56705B5E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3618D64B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1E1D349" w14:textId="77777777" w:rsidR="00FF6B5A" w:rsidRPr="00FF6B5A" w:rsidRDefault="005F64A8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7F7381C4" w14:textId="673E88FD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0C473D" w:rsidRPr="00CB01FF">
              <w:rPr>
                <w:rFonts w:eastAsia="Times New Roman" w:cstheme="minorHAnsi"/>
                <w:color w:val="000000"/>
                <w:lang w:eastAsia="sk-SK"/>
              </w:rPr>
              <w:t>Eliáš</w:t>
            </w:r>
          </w:p>
        </w:tc>
      </w:tr>
      <w:tr w:rsidR="00FF6B5A" w:rsidRPr="00FF6B5A" w14:paraId="0B0CB2B5" w14:textId="77777777" w:rsidTr="56705B5E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580FCFF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1AAA274" w14:textId="77777777" w:rsidR="00FF6B5A" w:rsidRPr="00FF6B5A" w:rsidRDefault="005F64A8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A2726EA" w14:textId="3AA79AC8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0C473D" w:rsidRPr="00CB01FF">
              <w:rPr>
                <w:rFonts w:eastAsia="Times New Roman" w:cstheme="minorHAnsi"/>
                <w:color w:val="000000"/>
                <w:lang w:eastAsia="sk-SK"/>
              </w:rPr>
              <w:t>Karel</w:t>
            </w:r>
          </w:p>
        </w:tc>
      </w:tr>
      <w:tr w:rsidR="00FF6B5A" w:rsidRPr="00FF6B5A" w14:paraId="04319611" w14:textId="77777777" w:rsidTr="56705B5E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0130791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BA2F938" w14:textId="77777777" w:rsidR="00FF6B5A" w:rsidRPr="00FF6B5A" w:rsidRDefault="005F64A8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63FAF36" w14:textId="43D2F465" w:rsidR="00FF6B5A" w:rsidRPr="00CB01FF" w:rsidRDefault="000C473D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 xml:space="preserve">Prof. Dr. </w:t>
            </w:r>
          </w:p>
        </w:tc>
      </w:tr>
      <w:tr w:rsidR="00FF6B5A" w:rsidRPr="00FF6B5A" w14:paraId="56709914" w14:textId="77777777" w:rsidTr="56705B5E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7D56CFE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673E1CA" w14:textId="77777777" w:rsidR="00FF6B5A" w:rsidRPr="00FF6B5A" w:rsidRDefault="005F64A8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0B7CAEFF" w14:textId="360A1CF7" w:rsidR="000C473D" w:rsidRPr="00CB01FF" w:rsidRDefault="000C473D" w:rsidP="000C473D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sk-SK"/>
              </w:rPr>
            </w:pPr>
            <w:r w:rsidRPr="00CB01FF">
              <w:rPr>
                <w:rFonts w:cstheme="minorHAnsi"/>
              </w:rPr>
              <w:t>https://www.portalvs.sk/regzam/detail/27260</w:t>
            </w:r>
          </w:p>
          <w:p w14:paraId="26A9AD78" w14:textId="4952171F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14D19C3C" w14:textId="77777777" w:rsidTr="005D59E4">
        <w:trPr>
          <w:trHeight w:val="2323"/>
        </w:trPr>
        <w:tc>
          <w:tcPr>
            <w:tcW w:w="0" w:type="auto"/>
            <w:shd w:val="clear" w:color="auto" w:fill="auto"/>
            <w:vAlign w:val="bottom"/>
            <w:hideMark/>
          </w:tcPr>
          <w:p w14:paraId="38AD6ED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BEF2716" w14:textId="3FB3DBEF" w:rsidR="008358CC" w:rsidRDefault="005F64A8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6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  <w:p w14:paraId="1FD06DC2" w14:textId="77777777" w:rsidR="008358CC" w:rsidRDefault="008358CC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  <w:p w14:paraId="5AAF08D4" w14:textId="77777777" w:rsidR="008358CC" w:rsidRDefault="008358CC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  <w:p w14:paraId="7082922F" w14:textId="77777777" w:rsidR="008358CC" w:rsidRPr="00FF6B5A" w:rsidRDefault="008358CC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C2F11FA" w14:textId="3EF632EE" w:rsidR="00FF6B5A" w:rsidRPr="00CB01FF" w:rsidRDefault="00FF6B5A" w:rsidP="008358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lang w:eastAsia="sk-SK"/>
              </w:rPr>
              <w:t> </w:t>
            </w:r>
            <w:r w:rsidR="008358CC" w:rsidRPr="001754C9">
              <w:rPr>
                <w:rFonts w:eastAsia="Times New Roman" w:cstheme="minorHAnsi"/>
                <w:lang w:eastAsia="sk-SK"/>
              </w:rPr>
              <w:t xml:space="preserve">Študijný program Občianske právo, 3. stupeň / </w:t>
            </w:r>
            <w:proofErr w:type="spellStart"/>
            <w:r w:rsidR="008358CC" w:rsidRPr="001754C9">
              <w:rPr>
                <w:rFonts w:eastAsia="Times New Roman" w:cstheme="minorHAnsi"/>
                <w:lang w:eastAsia="sk-SK"/>
              </w:rPr>
              <w:t>Third</w:t>
            </w:r>
            <w:proofErr w:type="spellEnd"/>
            <w:r w:rsidR="008358CC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8358CC" w:rsidRPr="001754C9">
              <w:rPr>
                <w:rFonts w:eastAsia="Times New Roman" w:cstheme="minorHAnsi"/>
                <w:lang w:eastAsia="sk-SK"/>
              </w:rPr>
              <w:t>degree</w:t>
            </w:r>
            <w:proofErr w:type="spellEnd"/>
            <w:r w:rsidR="008358CC" w:rsidRPr="001754C9">
              <w:rPr>
                <w:rFonts w:eastAsia="Times New Roman" w:cstheme="minorHAnsi"/>
                <w:lang w:eastAsia="sk-SK"/>
              </w:rPr>
              <w:t xml:space="preserve"> study programe "Civil </w:t>
            </w:r>
            <w:proofErr w:type="spellStart"/>
            <w:r w:rsidR="008358CC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8358CC" w:rsidRPr="001754C9">
              <w:rPr>
                <w:rFonts w:eastAsia="Times New Roman" w:cstheme="minorHAnsi"/>
                <w:lang w:eastAsia="sk-SK"/>
              </w:rPr>
              <w:t xml:space="preserve">" / Odbor habilitačného a inauguračného konania  "Občianske právo" / </w:t>
            </w:r>
            <w:proofErr w:type="spellStart"/>
            <w:r w:rsidR="008358CC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8358CC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8358CC" w:rsidRPr="001754C9">
              <w:rPr>
                <w:rFonts w:eastAsia="Times New Roman" w:cstheme="minorHAnsi"/>
                <w:lang w:eastAsia="sk-SK"/>
              </w:rPr>
              <w:t>field</w:t>
            </w:r>
            <w:proofErr w:type="spellEnd"/>
            <w:r w:rsidR="008358CC" w:rsidRPr="001754C9">
              <w:rPr>
                <w:rFonts w:eastAsia="Times New Roman" w:cstheme="minorHAnsi"/>
                <w:lang w:eastAsia="sk-SK"/>
              </w:rPr>
              <w:t xml:space="preserve"> of </w:t>
            </w:r>
            <w:proofErr w:type="spellStart"/>
            <w:r w:rsidR="008358CC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8358CC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8358CC" w:rsidRPr="001754C9">
              <w:rPr>
                <w:rFonts w:eastAsia="Times New Roman" w:cstheme="minorHAnsi"/>
                <w:lang w:eastAsia="sk-SK"/>
              </w:rPr>
              <w:t>habilitation</w:t>
            </w:r>
            <w:proofErr w:type="spellEnd"/>
            <w:r w:rsidR="008358CC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8358CC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8358CC" w:rsidRPr="001754C9">
              <w:rPr>
                <w:rFonts w:eastAsia="Times New Roman" w:cstheme="minorHAnsi"/>
                <w:lang w:eastAsia="sk-SK"/>
              </w:rPr>
              <w:t xml:space="preserve"> and </w:t>
            </w:r>
            <w:proofErr w:type="spellStart"/>
            <w:r w:rsidR="008358CC" w:rsidRPr="001754C9">
              <w:rPr>
                <w:rFonts w:eastAsia="Times New Roman" w:cstheme="minorHAnsi"/>
                <w:lang w:eastAsia="sk-SK"/>
              </w:rPr>
              <w:t>inaugural</w:t>
            </w:r>
            <w:proofErr w:type="spellEnd"/>
            <w:r w:rsidR="008358CC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8358CC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8358CC" w:rsidRPr="001754C9">
              <w:rPr>
                <w:rFonts w:eastAsia="Times New Roman" w:cstheme="minorHAnsi"/>
                <w:lang w:eastAsia="sk-SK"/>
              </w:rPr>
              <w:t xml:space="preserve">: "Civil </w:t>
            </w:r>
            <w:proofErr w:type="spellStart"/>
            <w:r w:rsidR="008358CC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8358CC" w:rsidRPr="001754C9">
              <w:rPr>
                <w:rFonts w:eastAsia="Times New Roman" w:cstheme="minorHAnsi"/>
                <w:lang w:eastAsia="sk-SK"/>
              </w:rPr>
              <w:t>"</w:t>
            </w:r>
          </w:p>
        </w:tc>
      </w:tr>
      <w:tr w:rsidR="008E2108" w:rsidRPr="00FF6B5A" w14:paraId="5AE22338" w14:textId="77777777" w:rsidTr="56705B5E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4863594D" w14:textId="77777777" w:rsidR="008E2108" w:rsidRPr="00FF6B5A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5DCE4" w:themeFill="text2" w:themeFillTint="33"/>
            <w:vAlign w:val="center"/>
          </w:tcPr>
          <w:p w14:paraId="2665BEF5" w14:textId="17BE245A" w:rsidR="008E2108" w:rsidRDefault="3C7706BA" w:rsidP="56705B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6705B5E">
              <w:rPr>
                <w:rFonts w:ascii="Calibri" w:eastAsia="Calibri" w:hAnsi="Calibri" w:cs="Calibri"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285B8AA2" w14:textId="37DF2978" w:rsidR="008E2108" w:rsidRPr="00CB01FF" w:rsidRDefault="00CE5D14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A+</w:t>
            </w:r>
          </w:p>
        </w:tc>
      </w:tr>
      <w:tr w:rsidR="00FF6B5A" w:rsidRPr="00FF6B5A" w14:paraId="2755EA2A" w14:textId="77777777" w:rsidTr="56705B5E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306E084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840DCC6" w14:textId="77777777" w:rsidR="00FF6B5A" w:rsidRDefault="005F64A8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7" w:anchor="Expl.OCA6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3B623BE5" w14:textId="77777777" w:rsidR="008E2108" w:rsidRPr="00FF6B5A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42A0A139" w14:textId="742BCB01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iCs/>
                <w:color w:val="00B0F0"/>
                <w:lang w:eastAsia="sk-SK"/>
              </w:rPr>
            </w:pPr>
            <w:r w:rsidRPr="00CB01FF">
              <w:rPr>
                <w:rFonts w:eastAsia="Times New Roman" w:cstheme="minorHAnsi"/>
                <w:i/>
                <w:iCs/>
                <w:lang w:eastAsia="sk-SK"/>
              </w:rPr>
              <w:t> </w:t>
            </w:r>
            <w:r w:rsidR="00942518" w:rsidRPr="00CB01FF">
              <w:rPr>
                <w:rFonts w:eastAsia="Times New Roman" w:cstheme="minorHAnsi"/>
                <w:b/>
                <w:color w:val="000000"/>
                <w:lang w:eastAsia="sk-SK"/>
              </w:rPr>
              <w:t>vedecký výstup</w:t>
            </w:r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 xml:space="preserve"> / </w:t>
            </w:r>
            <w:proofErr w:type="spellStart"/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>scientific</w:t>
            </w:r>
            <w:proofErr w:type="spellEnd"/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 xml:space="preserve"> output</w:t>
            </w:r>
          </w:p>
        </w:tc>
      </w:tr>
      <w:tr w:rsidR="00FF6B5A" w:rsidRPr="00FF6B5A" w14:paraId="5CF1856E" w14:textId="77777777" w:rsidTr="56705B5E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26051AA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2CDC913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24BC0AA8" w14:textId="0398BAAB" w:rsidR="00FF6B5A" w:rsidRPr="00CB01FF" w:rsidRDefault="002833F5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2018</w:t>
            </w:r>
          </w:p>
        </w:tc>
      </w:tr>
      <w:tr w:rsidR="00FF6B5A" w:rsidRPr="00FF6B5A" w14:paraId="70C2F838" w14:textId="77777777" w:rsidTr="56705B5E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3898A1D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28620AE" w14:textId="77777777" w:rsidR="00FF6B5A" w:rsidRPr="00FF6B5A" w:rsidRDefault="005F64A8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153DE5C0" w14:textId="77777777" w:rsidR="002833F5" w:rsidRPr="008313A9" w:rsidRDefault="002833F5" w:rsidP="002833F5">
            <w:r w:rsidRPr="008313A9">
              <w:t>ID: 84745 | </w:t>
            </w:r>
            <w:r w:rsidRPr="008313A9">
              <w:rPr>
                <w:rStyle w:val="Vrazn"/>
                <w:b w:val="0"/>
                <w:bCs w:val="0"/>
              </w:rPr>
              <w:t xml:space="preserve">Porušení zákona </w:t>
            </w:r>
            <w:proofErr w:type="spellStart"/>
            <w:r w:rsidRPr="008313A9">
              <w:rPr>
                <w:rStyle w:val="Vrazn"/>
                <w:b w:val="0"/>
                <w:bCs w:val="0"/>
              </w:rPr>
              <w:t>oklikou</w:t>
            </w:r>
            <w:proofErr w:type="spellEnd"/>
            <w:r w:rsidRPr="008313A9">
              <w:rPr>
                <w:rStyle w:val="Vrazn"/>
                <w:b w:val="0"/>
                <w:bCs w:val="0"/>
              </w:rPr>
              <w:t xml:space="preserve">: </w:t>
            </w:r>
            <w:proofErr w:type="spellStart"/>
            <w:r w:rsidRPr="008313A9">
              <w:rPr>
                <w:rStyle w:val="Vrazn"/>
                <w:b w:val="0"/>
                <w:bCs w:val="0"/>
              </w:rPr>
              <w:t>Fraus</w:t>
            </w:r>
            <w:proofErr w:type="spellEnd"/>
            <w:r w:rsidRPr="008313A9">
              <w:rPr>
                <w:rStyle w:val="Vrazn"/>
                <w:b w:val="0"/>
                <w:bCs w:val="0"/>
              </w:rPr>
              <w:t xml:space="preserve"> </w:t>
            </w:r>
            <w:proofErr w:type="spellStart"/>
            <w:r w:rsidRPr="008313A9">
              <w:rPr>
                <w:rStyle w:val="Vrazn"/>
                <w:b w:val="0"/>
                <w:bCs w:val="0"/>
              </w:rPr>
              <w:t>legis</w:t>
            </w:r>
            <w:proofErr w:type="spellEnd"/>
            <w:r w:rsidRPr="008313A9">
              <w:rPr>
                <w:rStyle w:val="Vrazn"/>
                <w:b w:val="0"/>
                <w:bCs w:val="0"/>
              </w:rPr>
              <w:t xml:space="preserve"> </w:t>
            </w:r>
            <w:proofErr w:type="spellStart"/>
            <w:r w:rsidRPr="008313A9">
              <w:rPr>
                <w:rStyle w:val="Vrazn"/>
                <w:b w:val="0"/>
                <w:bCs w:val="0"/>
              </w:rPr>
              <w:t>facta</w:t>
            </w:r>
            <w:proofErr w:type="spellEnd"/>
            <w:r w:rsidRPr="008313A9">
              <w:rPr>
                <w:rStyle w:val="Vrazn"/>
                <w:b w:val="0"/>
                <w:bCs w:val="0"/>
              </w:rPr>
              <w:t xml:space="preserve"> v </w:t>
            </w:r>
            <w:proofErr w:type="spellStart"/>
            <w:r w:rsidRPr="008313A9">
              <w:rPr>
                <w:rStyle w:val="Vrazn"/>
                <w:b w:val="0"/>
                <w:bCs w:val="0"/>
              </w:rPr>
              <w:t>civilním</w:t>
            </w:r>
            <w:proofErr w:type="spellEnd"/>
            <w:r w:rsidRPr="008313A9">
              <w:rPr>
                <w:rStyle w:val="Vrazn"/>
                <w:b w:val="0"/>
                <w:bCs w:val="0"/>
              </w:rPr>
              <w:t xml:space="preserve"> právu</w:t>
            </w:r>
            <w:r w:rsidRPr="008313A9">
              <w:t xml:space="preserve"> = </w:t>
            </w:r>
            <w:proofErr w:type="spellStart"/>
            <w:r w:rsidRPr="008313A9">
              <w:t>Circumvention</w:t>
            </w:r>
            <w:proofErr w:type="spellEnd"/>
            <w:r w:rsidRPr="008313A9">
              <w:t xml:space="preserve"> of </w:t>
            </w:r>
            <w:proofErr w:type="spellStart"/>
            <w:r w:rsidRPr="008313A9">
              <w:t>the</w:t>
            </w:r>
            <w:proofErr w:type="spellEnd"/>
            <w:r w:rsidRPr="008313A9">
              <w:t xml:space="preserve"> </w:t>
            </w:r>
            <w:proofErr w:type="spellStart"/>
            <w:r w:rsidRPr="008313A9">
              <w:t>law</w:t>
            </w:r>
            <w:proofErr w:type="spellEnd"/>
            <w:r w:rsidRPr="008313A9">
              <w:t xml:space="preserve"> by </w:t>
            </w:r>
            <w:proofErr w:type="spellStart"/>
            <w:r w:rsidRPr="008313A9">
              <w:t>detour</w:t>
            </w:r>
            <w:proofErr w:type="spellEnd"/>
            <w:r w:rsidRPr="008313A9">
              <w:t xml:space="preserve">: </w:t>
            </w:r>
            <w:proofErr w:type="spellStart"/>
            <w:r w:rsidRPr="008313A9">
              <w:t>Fraus</w:t>
            </w:r>
            <w:proofErr w:type="spellEnd"/>
            <w:r w:rsidRPr="008313A9">
              <w:t xml:space="preserve"> </w:t>
            </w:r>
            <w:proofErr w:type="spellStart"/>
            <w:r w:rsidRPr="008313A9">
              <w:t>legis</w:t>
            </w:r>
            <w:proofErr w:type="spellEnd"/>
            <w:r w:rsidRPr="008313A9">
              <w:t xml:space="preserve"> </w:t>
            </w:r>
            <w:proofErr w:type="spellStart"/>
            <w:r w:rsidRPr="008313A9">
              <w:t>facta</w:t>
            </w:r>
            <w:proofErr w:type="spellEnd"/>
            <w:r w:rsidRPr="008313A9">
              <w:t xml:space="preserve"> in civil </w:t>
            </w:r>
            <w:proofErr w:type="spellStart"/>
            <w:r w:rsidRPr="008313A9">
              <w:t>law</w:t>
            </w:r>
            <w:proofErr w:type="spellEnd"/>
            <w:r w:rsidRPr="008313A9">
              <w:t xml:space="preserve"> / Eliáš, Karel [Autor, 100%]. – [recenzované] </w:t>
            </w:r>
            <w:r w:rsidRPr="008313A9">
              <w:br/>
              <w:t xml:space="preserve">In: </w:t>
            </w:r>
            <w:proofErr w:type="spellStart"/>
            <w:r w:rsidRPr="008313A9">
              <w:rPr>
                <w:i/>
                <w:iCs/>
              </w:rPr>
              <w:t>Právník</w:t>
            </w:r>
            <w:proofErr w:type="spellEnd"/>
            <w:r w:rsidRPr="008313A9">
              <w:t xml:space="preserve"> [textový dokument (</w:t>
            </w:r>
            <w:proofErr w:type="spellStart"/>
            <w:r w:rsidRPr="008313A9">
              <w:t>print</w:t>
            </w:r>
            <w:proofErr w:type="spellEnd"/>
            <w:r w:rsidRPr="008313A9">
              <w:t xml:space="preserve">)] : teoretický časopis pro otázky státu a práva = </w:t>
            </w:r>
            <w:proofErr w:type="spellStart"/>
            <w:r w:rsidRPr="008313A9">
              <w:t>scientific</w:t>
            </w:r>
            <w:proofErr w:type="spellEnd"/>
            <w:r w:rsidRPr="008313A9">
              <w:t xml:space="preserve"> revue </w:t>
            </w:r>
            <w:proofErr w:type="spellStart"/>
            <w:r w:rsidRPr="008313A9">
              <w:t>for</w:t>
            </w:r>
            <w:proofErr w:type="spellEnd"/>
            <w:r w:rsidRPr="008313A9">
              <w:t xml:space="preserve"> </w:t>
            </w:r>
            <w:proofErr w:type="spellStart"/>
            <w:r w:rsidRPr="008313A9">
              <w:t>problems</w:t>
            </w:r>
            <w:proofErr w:type="spellEnd"/>
            <w:r w:rsidRPr="008313A9">
              <w:t xml:space="preserve"> of state and </w:t>
            </w:r>
            <w:proofErr w:type="spellStart"/>
            <w:r w:rsidRPr="008313A9">
              <w:t>law</w:t>
            </w:r>
            <w:proofErr w:type="spellEnd"/>
            <w:r w:rsidRPr="008313A9">
              <w:t xml:space="preserve">. – Praha (Česko) : </w:t>
            </w:r>
            <w:proofErr w:type="spellStart"/>
            <w:r w:rsidRPr="008313A9">
              <w:t>Akademie</w:t>
            </w:r>
            <w:proofErr w:type="spellEnd"/>
            <w:r w:rsidRPr="008313A9">
              <w:t xml:space="preserve"> </w:t>
            </w:r>
            <w:proofErr w:type="spellStart"/>
            <w:r w:rsidRPr="008313A9">
              <w:t>věd</w:t>
            </w:r>
            <w:proofErr w:type="spellEnd"/>
            <w:r w:rsidRPr="008313A9">
              <w:t xml:space="preserve"> České republiky. Ústav státu a práva AV ČR. – ISSN 0231-6625. – ISSN (zrušené) 0324-7007. – TUTPR signatúra E003588. – Roč. 157, č. 11 (2018), s. 897-921,973 [tlačená forma]</w:t>
            </w:r>
          </w:p>
          <w:p w14:paraId="7EA0900B" w14:textId="6C033BBD" w:rsidR="00422600" w:rsidRPr="00CB01FF" w:rsidRDefault="00422600" w:rsidP="00EA434E">
            <w:pPr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7043AB98" w14:textId="77777777" w:rsidTr="56705B5E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02B970D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1F2B6CC9" w14:textId="77777777" w:rsidR="00FF6B5A" w:rsidRPr="00FF6B5A" w:rsidRDefault="005F64A8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</w:tcPr>
          <w:p w14:paraId="441F1559" w14:textId="77777777" w:rsidR="002833F5" w:rsidRPr="00B8040F" w:rsidRDefault="005F64A8" w:rsidP="002833F5">
            <w:pPr>
              <w:spacing w:after="0" w:line="240" w:lineRule="auto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20" w:tgtFrame="_blank" w:history="1">
              <w:r w:rsidR="002833F5" w:rsidRPr="00B804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https://app.crepc.sk/?fn=detailBiblioForm&amp;sid=75C0D41DD8E8F0254F8FED7B</w:t>
              </w:r>
            </w:hyperlink>
          </w:p>
          <w:p w14:paraId="5FF90BB9" w14:textId="39F760B4" w:rsidR="00FF6B5A" w:rsidRPr="00CB01FF" w:rsidRDefault="00FF6B5A" w:rsidP="00FE27EC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86832" w:rsidRPr="00FF6B5A" w14:paraId="21498929" w14:textId="77777777" w:rsidTr="56705B5E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6F1ADBEE" w14:textId="77777777" w:rsidR="00C86832" w:rsidRPr="00FF6B5A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74742115" w14:textId="77777777" w:rsidR="00C86832" w:rsidRDefault="00C86832" w:rsidP="00532FE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6262AED" w14:textId="77777777" w:rsidR="00C86832" w:rsidRPr="00CB01FF" w:rsidRDefault="00C86832" w:rsidP="00FE27EC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6BA9D2A2" w14:textId="77777777" w:rsidTr="56705B5E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1D1FB32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6429918C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29C19DA6" w14:textId="77777777" w:rsidR="00FF6B5A" w:rsidRPr="00FF6B5A" w:rsidRDefault="005F64A8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03C9B177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lastRenderedPageBreak/>
              <w:t> </w:t>
            </w:r>
          </w:p>
        </w:tc>
      </w:tr>
      <w:tr w:rsidR="00FF6B5A" w:rsidRPr="00FF6B5A" w14:paraId="51BFBC80" w14:textId="77777777" w:rsidTr="56705B5E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6D0277B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B8038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386CD7C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29E661A" w14:textId="0E8964E9" w:rsidR="00FF6B5A" w:rsidRPr="00CB01FF" w:rsidRDefault="00FF6B5A" w:rsidP="00B34BB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1DD2128C" w14:textId="77777777" w:rsidTr="56705B5E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43AF582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D5F8A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3B2189C" w14:textId="77777777" w:rsidR="00FF6B5A" w:rsidRPr="00CB01FF" w:rsidRDefault="005F64A8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Expl.OCA12!A1" w:history="1"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266D3A3" w14:textId="4D0E3FBA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sk-SK"/>
              </w:rPr>
            </w:pPr>
          </w:p>
        </w:tc>
      </w:tr>
      <w:tr w:rsidR="00FF6B5A" w:rsidRPr="00FF6B5A" w14:paraId="3994E767" w14:textId="77777777" w:rsidTr="56705B5E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1F1E41C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CE3C9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0F864A0" w14:textId="77777777" w:rsidR="00FF6B5A" w:rsidRPr="00CB01FF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CB01FF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CB01FF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2438FED5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F6B5A" w:rsidRPr="00FF6B5A" w14:paraId="49B38A92" w14:textId="77777777" w:rsidTr="56705B5E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207E32D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70FC1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D8472C6" w14:textId="77777777" w:rsidR="00FF6B5A" w:rsidRPr="00CB01FF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Charakteristika autorského vkladu /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D33DD09" w14:textId="4F8D50D9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270C6842" w14:textId="77777777" w:rsidTr="56705B5E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07D7D6E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5B7FC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1740FF49" w14:textId="77777777" w:rsidR="00FF6B5A" w:rsidRPr="00CB01FF" w:rsidRDefault="005F64A8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3" w:anchor="'poznamky_explanatory notes'!A1" w:history="1"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FF6B5A" w:rsidRPr="00CB01FF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532FE9" w:rsidRPr="00CB01FF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</w:tcPr>
          <w:p w14:paraId="1FE9C4F0" w14:textId="77777777" w:rsidR="005F64A8" w:rsidRPr="005F64A8" w:rsidRDefault="005F64A8" w:rsidP="005F64A8">
            <w:pPr>
              <w:spacing w:after="0" w:line="240" w:lineRule="auto"/>
              <w:ind w:right="199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5F64A8">
              <w:rPr>
                <w:rFonts w:eastAsia="Times New Roman" w:cstheme="minorHAnsi"/>
                <w:color w:val="000000"/>
                <w:lang w:eastAsia="sk-SK"/>
              </w:rPr>
              <w:t>V kontexte historických a regionálnych porovnaní sa článok zaoberá problematikou obchádzania zákona vo všeobecnom občianskom práve s odkazom na české a slovenské právo. Autor poukazuje na to, že v databázach českých a slovenských súdnych rozhodnutí sa nachádza niekoľko tisíc rozhodnutí, ktoré sa problematiky obchádzania zákona dotýkajú, či už výrazne alebo len okrajovo. Na tomto základe pojednanie dospelo k niekoľkým záverom. Obchádzanie je čiastočným prejavom zneužívania práva. Ako také je v niektorých európskych občianskych právach výslovne zakázané. Formulácia takéhoto zákazu má rôzne príčiny (kultúrne, politické, ideologické atď.). Ale ani v prípadoch, keď výslovný zákaz nie je upravený, nebráni tomu, aby zneužitie práva a obchádzanie zákona bolo sankcionované ako protiprávny čin, ak zákon chápeme funkčne a nie formalisticky. Autor podrobne rozoberá niektoré súdne prípady a poukazuje na riziko zámeny významu a účelu zákona za etické, sociálne alebo politické názory, ktoré nemajú oporu v samotnom zákone. Ďalšou otázkou je, či nadprodukcia právnej regulácie v modernej dobe a miera obmedzenia individuálnej slobody sama o sebe nevytvára okrem iného tendenciu obchádzať hypertrofované kogentné normy.</w:t>
            </w:r>
          </w:p>
          <w:p w14:paraId="6D13AE23" w14:textId="4551BBAA" w:rsidR="00422600" w:rsidRPr="00CB01FF" w:rsidRDefault="00422600" w:rsidP="004F6F4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sk-SK"/>
              </w:rPr>
            </w:pPr>
          </w:p>
        </w:tc>
      </w:tr>
      <w:tr w:rsidR="00FF6B5A" w:rsidRPr="00FF6B5A" w14:paraId="0E3A4A1E" w14:textId="77777777" w:rsidTr="56705B5E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2208630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6CCB09B" w14:textId="77777777" w:rsidR="00FF6B5A" w:rsidRPr="00FF6B5A" w:rsidRDefault="005F64A8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</w:tcPr>
          <w:p w14:paraId="6241B271" w14:textId="170B2F31" w:rsidR="002833F5" w:rsidRPr="005F64A8" w:rsidRDefault="002833F5" w:rsidP="005F64A8">
            <w:pPr>
              <w:spacing w:after="0" w:line="240" w:lineRule="auto"/>
              <w:ind w:right="199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In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context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of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historical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and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regional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comparisons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paper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addresses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issue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of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circumvention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of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law</w:t>
            </w:r>
            <w:proofErr w:type="spellEnd"/>
            <w:r w:rsidR="00E7098F"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in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general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civil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law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with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reference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to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Czech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and Slovak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law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.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author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points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out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that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databases</w:t>
            </w:r>
            <w:proofErr w:type="spellEnd"/>
            <w:r w:rsidR="00E7098F"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of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Czech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and Slovak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court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decisions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there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are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several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thousand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decisions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in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databases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that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touch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on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issue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of</w:t>
            </w:r>
            <w:r w:rsidR="00E7098F"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circumvention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of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law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either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significantly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or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only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marginally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. On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this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basis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treatise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concludes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several</w:t>
            </w:r>
            <w:proofErr w:type="spellEnd"/>
            <w:r w:rsidR="00E7098F"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conclusions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.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Circumvention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is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a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partial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manifestation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of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abuse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of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law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. As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such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, in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some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civil</w:t>
            </w:r>
            <w:r w:rsidR="00E7098F"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European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civil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law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is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expressly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prohibited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.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formulation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of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such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a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prohibition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has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various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causes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(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cultural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>,</w:t>
            </w:r>
          </w:p>
          <w:p w14:paraId="45D4C299" w14:textId="38CD1A6A" w:rsidR="002E1DFA" w:rsidRPr="005F64A8" w:rsidRDefault="002833F5" w:rsidP="005F64A8">
            <w:pPr>
              <w:spacing w:after="0" w:line="240" w:lineRule="auto"/>
              <w:ind w:right="199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political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ideological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, etc.).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But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even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in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cases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where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explicit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prohibition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is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not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regulated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it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does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not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prevent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abuse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of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right</w:t>
            </w:r>
            <w:proofErr w:type="spellEnd"/>
            <w:r w:rsidR="00E7098F"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and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circumvention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of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lastRenderedPageBreak/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law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to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be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sanctioned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as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an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unlawful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act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if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we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understand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law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functionally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and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not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formalistically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>.</w:t>
            </w:r>
            <w:r w:rsidR="00E7098F"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author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discusses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some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court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cases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in detail and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points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out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risk of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confusing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meaning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of</w:t>
            </w:r>
            <w:r w:rsidR="00E7098F"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and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purpose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of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law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for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ethical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social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or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political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views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that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have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no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support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in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law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itself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.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Another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question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is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>,</w:t>
            </w:r>
            <w:r w:rsidR="00E7098F"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whether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overproduction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of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legal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regulation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in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modern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times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and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degree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of</w:t>
            </w:r>
            <w:r w:rsidR="00E7098F"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restriction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on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individual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liberty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does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not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itself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generate</w:t>
            </w:r>
            <w:proofErr w:type="spellEnd"/>
            <w:r w:rsidR="00E7098F"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among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other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things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, a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tendency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to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circumvent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hypertrophied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cogent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5F64A8">
              <w:rPr>
                <w:rFonts w:eastAsia="Times New Roman" w:cstheme="minorHAnsi"/>
                <w:color w:val="000000"/>
                <w:lang w:eastAsia="sk-SK"/>
              </w:rPr>
              <w:t>norms</w:t>
            </w:r>
            <w:proofErr w:type="spellEnd"/>
            <w:r w:rsidRPr="005F64A8">
              <w:rPr>
                <w:rFonts w:eastAsia="Times New Roman" w:cstheme="minorHAnsi"/>
                <w:color w:val="000000"/>
                <w:lang w:eastAsia="sk-SK"/>
              </w:rPr>
              <w:t>.</w:t>
            </w:r>
          </w:p>
        </w:tc>
      </w:tr>
      <w:tr w:rsidR="00FF6B5A" w:rsidRPr="00FF6B5A" w14:paraId="715A9106" w14:textId="77777777" w:rsidTr="56705B5E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6D3A0EE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675AA1F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D70E702" w14:textId="7FA0E5E0" w:rsidR="00E31030" w:rsidRDefault="00E31030" w:rsidP="00F9146E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r>
              <w:t>Príspevok bol reflektovaný napríklad v plenárnom rozhodnutí Ústavného súdu Slovenskej republiky (</w:t>
            </w:r>
            <w:r w:rsidRPr="00E31030">
              <w:t>Uznesenie Ústavného súdu Slovenskej republiky č. k. PL. ÚS 16/2019 z 2. apríla 2020</w:t>
            </w:r>
            <w:r>
              <w:t xml:space="preserve">) / </w:t>
            </w:r>
            <w:proofErr w:type="spellStart"/>
            <w:r w:rsidRPr="00BA2529">
              <w:rPr>
                <w:i/>
                <w:iCs/>
              </w:rPr>
              <w:t>The</w:t>
            </w:r>
            <w:proofErr w:type="spellEnd"/>
            <w:r w:rsidRPr="00BA2529">
              <w:rPr>
                <w:i/>
                <w:iCs/>
              </w:rPr>
              <w:t xml:space="preserve"> </w:t>
            </w:r>
            <w:proofErr w:type="spellStart"/>
            <w:r w:rsidRPr="00BA2529">
              <w:rPr>
                <w:i/>
                <w:iCs/>
              </w:rPr>
              <w:t>contribution</w:t>
            </w:r>
            <w:proofErr w:type="spellEnd"/>
            <w:r w:rsidRPr="00BA2529">
              <w:rPr>
                <w:i/>
                <w:iCs/>
              </w:rPr>
              <w:t xml:space="preserve"> </w:t>
            </w:r>
            <w:proofErr w:type="spellStart"/>
            <w:r w:rsidRPr="00BA2529">
              <w:rPr>
                <w:i/>
                <w:iCs/>
              </w:rPr>
              <w:t>was</w:t>
            </w:r>
            <w:proofErr w:type="spellEnd"/>
            <w:r w:rsidRPr="00BA2529">
              <w:rPr>
                <w:i/>
                <w:iCs/>
              </w:rPr>
              <w:t xml:space="preserve"> </w:t>
            </w:r>
            <w:proofErr w:type="spellStart"/>
            <w:r w:rsidRPr="00BA2529">
              <w:rPr>
                <w:i/>
                <w:iCs/>
              </w:rPr>
              <w:t>reflected</w:t>
            </w:r>
            <w:proofErr w:type="spellEnd"/>
            <w:r w:rsidRPr="00BA2529">
              <w:rPr>
                <w:i/>
                <w:iCs/>
              </w:rPr>
              <w:t xml:space="preserve">, </w:t>
            </w:r>
            <w:proofErr w:type="spellStart"/>
            <w:r w:rsidRPr="00BA2529">
              <w:rPr>
                <w:i/>
                <w:iCs/>
              </w:rPr>
              <w:t>for</w:t>
            </w:r>
            <w:proofErr w:type="spellEnd"/>
            <w:r w:rsidRPr="00BA2529">
              <w:rPr>
                <w:i/>
                <w:iCs/>
              </w:rPr>
              <w:t xml:space="preserve"> </w:t>
            </w:r>
            <w:proofErr w:type="spellStart"/>
            <w:r w:rsidRPr="00BA2529">
              <w:rPr>
                <w:i/>
                <w:iCs/>
              </w:rPr>
              <w:t>example</w:t>
            </w:r>
            <w:proofErr w:type="spellEnd"/>
            <w:r w:rsidRPr="00BA2529">
              <w:rPr>
                <w:i/>
                <w:iCs/>
              </w:rPr>
              <w:t xml:space="preserve">, in a </w:t>
            </w:r>
            <w:proofErr w:type="spellStart"/>
            <w:r w:rsidRPr="00BA2529">
              <w:rPr>
                <w:i/>
                <w:iCs/>
              </w:rPr>
              <w:t>plenary</w:t>
            </w:r>
            <w:proofErr w:type="spellEnd"/>
            <w:r w:rsidRPr="00BA2529">
              <w:rPr>
                <w:i/>
                <w:iCs/>
              </w:rPr>
              <w:t xml:space="preserve"> </w:t>
            </w:r>
            <w:proofErr w:type="spellStart"/>
            <w:r w:rsidRPr="00BA2529">
              <w:rPr>
                <w:i/>
                <w:iCs/>
              </w:rPr>
              <w:t>decision</w:t>
            </w:r>
            <w:proofErr w:type="spellEnd"/>
            <w:r w:rsidRPr="00BA2529">
              <w:rPr>
                <w:i/>
                <w:iCs/>
              </w:rPr>
              <w:t xml:space="preserve"> of </w:t>
            </w:r>
            <w:proofErr w:type="spellStart"/>
            <w:r w:rsidRPr="00BA2529">
              <w:rPr>
                <w:i/>
                <w:iCs/>
              </w:rPr>
              <w:t>the</w:t>
            </w:r>
            <w:proofErr w:type="spellEnd"/>
            <w:r w:rsidRPr="00BA2529">
              <w:rPr>
                <w:i/>
                <w:iCs/>
              </w:rPr>
              <w:t xml:space="preserve"> </w:t>
            </w:r>
            <w:proofErr w:type="spellStart"/>
            <w:r w:rsidRPr="00BA2529">
              <w:rPr>
                <w:i/>
                <w:iCs/>
              </w:rPr>
              <w:t>Constitutional</w:t>
            </w:r>
            <w:proofErr w:type="spellEnd"/>
            <w:r w:rsidRPr="00BA2529">
              <w:rPr>
                <w:i/>
                <w:iCs/>
              </w:rPr>
              <w:t xml:space="preserve"> </w:t>
            </w:r>
            <w:proofErr w:type="spellStart"/>
            <w:r w:rsidRPr="00BA2529">
              <w:rPr>
                <w:i/>
                <w:iCs/>
              </w:rPr>
              <w:t>Court</w:t>
            </w:r>
            <w:proofErr w:type="spellEnd"/>
            <w:r w:rsidRPr="00BA2529">
              <w:rPr>
                <w:i/>
                <w:iCs/>
              </w:rPr>
              <w:t xml:space="preserve"> of </w:t>
            </w:r>
            <w:proofErr w:type="spellStart"/>
            <w:r w:rsidRPr="00BA2529">
              <w:rPr>
                <w:i/>
                <w:iCs/>
              </w:rPr>
              <w:t>the</w:t>
            </w:r>
            <w:proofErr w:type="spellEnd"/>
            <w:r w:rsidRPr="00BA2529">
              <w:rPr>
                <w:i/>
                <w:iCs/>
              </w:rPr>
              <w:t xml:space="preserve"> Slovak </w:t>
            </w:r>
            <w:proofErr w:type="spellStart"/>
            <w:r w:rsidRPr="00BA2529">
              <w:rPr>
                <w:i/>
                <w:iCs/>
              </w:rPr>
              <w:t>Republic</w:t>
            </w:r>
            <w:proofErr w:type="spellEnd"/>
            <w:r w:rsidRPr="00BA2529">
              <w:rPr>
                <w:i/>
                <w:iCs/>
              </w:rPr>
              <w:t xml:space="preserve"> (</w:t>
            </w:r>
            <w:proofErr w:type="spellStart"/>
            <w:r w:rsidRPr="00BA2529">
              <w:rPr>
                <w:i/>
                <w:iCs/>
              </w:rPr>
              <w:t>Resolution</w:t>
            </w:r>
            <w:proofErr w:type="spellEnd"/>
            <w:r w:rsidRPr="00BA2529">
              <w:rPr>
                <w:i/>
                <w:iCs/>
              </w:rPr>
              <w:t xml:space="preserve"> of </w:t>
            </w:r>
            <w:proofErr w:type="spellStart"/>
            <w:r w:rsidRPr="00BA2529">
              <w:rPr>
                <w:i/>
                <w:iCs/>
              </w:rPr>
              <w:t>the</w:t>
            </w:r>
            <w:proofErr w:type="spellEnd"/>
            <w:r w:rsidRPr="00BA2529">
              <w:rPr>
                <w:i/>
                <w:iCs/>
              </w:rPr>
              <w:t xml:space="preserve"> </w:t>
            </w:r>
            <w:proofErr w:type="spellStart"/>
            <w:r w:rsidRPr="00BA2529">
              <w:rPr>
                <w:i/>
                <w:iCs/>
              </w:rPr>
              <w:t>Constitutional</w:t>
            </w:r>
            <w:proofErr w:type="spellEnd"/>
            <w:r w:rsidRPr="00BA2529">
              <w:rPr>
                <w:i/>
                <w:iCs/>
              </w:rPr>
              <w:t xml:space="preserve"> </w:t>
            </w:r>
            <w:proofErr w:type="spellStart"/>
            <w:r w:rsidRPr="00BA2529">
              <w:rPr>
                <w:i/>
                <w:iCs/>
              </w:rPr>
              <w:t>Court</w:t>
            </w:r>
            <w:proofErr w:type="spellEnd"/>
            <w:r w:rsidRPr="00BA2529">
              <w:rPr>
                <w:i/>
                <w:iCs/>
              </w:rPr>
              <w:t xml:space="preserve"> of </w:t>
            </w:r>
            <w:proofErr w:type="spellStart"/>
            <w:r w:rsidRPr="00BA2529">
              <w:rPr>
                <w:i/>
                <w:iCs/>
              </w:rPr>
              <w:t>the</w:t>
            </w:r>
            <w:proofErr w:type="spellEnd"/>
            <w:r w:rsidRPr="00BA2529">
              <w:rPr>
                <w:i/>
                <w:iCs/>
              </w:rPr>
              <w:t xml:space="preserve"> Slovak </w:t>
            </w:r>
            <w:proofErr w:type="spellStart"/>
            <w:r w:rsidRPr="00BA2529">
              <w:rPr>
                <w:i/>
                <w:iCs/>
              </w:rPr>
              <w:t>Republic</w:t>
            </w:r>
            <w:proofErr w:type="spellEnd"/>
            <w:r w:rsidRPr="00BA2529">
              <w:rPr>
                <w:i/>
                <w:iCs/>
              </w:rPr>
              <w:t xml:space="preserve"> No. PL. ÚS 16/2019 of 2 </w:t>
            </w:r>
            <w:proofErr w:type="spellStart"/>
            <w:r w:rsidRPr="00BA2529">
              <w:rPr>
                <w:i/>
                <w:iCs/>
              </w:rPr>
              <w:t>April</w:t>
            </w:r>
            <w:proofErr w:type="spellEnd"/>
            <w:r w:rsidRPr="00BA2529">
              <w:rPr>
                <w:i/>
                <w:iCs/>
              </w:rPr>
              <w:t xml:space="preserve"> 2020)</w:t>
            </w:r>
          </w:p>
          <w:p w14:paraId="5A9FC114" w14:textId="4BF9E362" w:rsidR="00F9146E" w:rsidRDefault="00F9146E" w:rsidP="00F9146E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r>
              <w:t xml:space="preserve">Príspevok bol reflektovaný aj v českej legislatíve, keď sa naň odvoláva napríklad dôvodová správa návrhu o ochrane </w:t>
            </w:r>
            <w:proofErr w:type="spellStart"/>
            <w:r>
              <w:t>whistle-blowerov</w:t>
            </w:r>
            <w:proofErr w:type="spellEnd"/>
            <w:r>
              <w:t xml:space="preserve"> / </w:t>
            </w:r>
            <w:proofErr w:type="spellStart"/>
            <w:r w:rsidRPr="00F9146E">
              <w:rPr>
                <w:i/>
                <w:iCs/>
              </w:rPr>
              <w:t>The</w:t>
            </w:r>
            <w:proofErr w:type="spellEnd"/>
            <w:r w:rsidRPr="00F9146E">
              <w:rPr>
                <w:i/>
                <w:iCs/>
              </w:rPr>
              <w:t xml:space="preserve"> </w:t>
            </w:r>
            <w:proofErr w:type="spellStart"/>
            <w:r w:rsidRPr="00F9146E">
              <w:rPr>
                <w:i/>
                <w:iCs/>
              </w:rPr>
              <w:t>contribution</w:t>
            </w:r>
            <w:proofErr w:type="spellEnd"/>
            <w:r w:rsidRPr="00F9146E">
              <w:rPr>
                <w:i/>
                <w:iCs/>
              </w:rPr>
              <w:t xml:space="preserve"> </w:t>
            </w:r>
            <w:proofErr w:type="spellStart"/>
            <w:r w:rsidRPr="00F9146E">
              <w:rPr>
                <w:i/>
                <w:iCs/>
              </w:rPr>
              <w:t>was</w:t>
            </w:r>
            <w:proofErr w:type="spellEnd"/>
            <w:r w:rsidRPr="00F9146E">
              <w:rPr>
                <w:i/>
                <w:iCs/>
              </w:rPr>
              <w:t xml:space="preserve"> </w:t>
            </w:r>
            <w:proofErr w:type="spellStart"/>
            <w:r w:rsidRPr="00F9146E">
              <w:rPr>
                <w:i/>
                <w:iCs/>
              </w:rPr>
              <w:t>also</w:t>
            </w:r>
            <w:proofErr w:type="spellEnd"/>
            <w:r w:rsidRPr="00F9146E">
              <w:rPr>
                <w:i/>
                <w:iCs/>
              </w:rPr>
              <w:t xml:space="preserve"> </w:t>
            </w:r>
            <w:proofErr w:type="spellStart"/>
            <w:r w:rsidRPr="00F9146E">
              <w:rPr>
                <w:i/>
                <w:iCs/>
              </w:rPr>
              <w:t>reflected</w:t>
            </w:r>
            <w:proofErr w:type="spellEnd"/>
            <w:r w:rsidRPr="00F9146E">
              <w:rPr>
                <w:i/>
                <w:iCs/>
              </w:rPr>
              <w:t xml:space="preserve"> in </w:t>
            </w:r>
            <w:proofErr w:type="spellStart"/>
            <w:r w:rsidRPr="00F9146E">
              <w:rPr>
                <w:i/>
                <w:iCs/>
              </w:rPr>
              <w:t>the</w:t>
            </w:r>
            <w:proofErr w:type="spellEnd"/>
            <w:r w:rsidRPr="00F9146E">
              <w:rPr>
                <w:i/>
                <w:iCs/>
              </w:rPr>
              <w:t xml:space="preserve"> </w:t>
            </w:r>
            <w:proofErr w:type="spellStart"/>
            <w:r w:rsidRPr="00F9146E">
              <w:rPr>
                <w:i/>
                <w:iCs/>
              </w:rPr>
              <w:t>Czech</w:t>
            </w:r>
            <w:proofErr w:type="spellEnd"/>
            <w:r w:rsidRPr="00F9146E">
              <w:rPr>
                <w:i/>
                <w:iCs/>
              </w:rPr>
              <w:t xml:space="preserve"> </w:t>
            </w:r>
            <w:proofErr w:type="spellStart"/>
            <w:r w:rsidRPr="00F9146E">
              <w:rPr>
                <w:i/>
                <w:iCs/>
              </w:rPr>
              <w:t>legislation</w:t>
            </w:r>
            <w:proofErr w:type="spellEnd"/>
            <w:r w:rsidRPr="00F9146E">
              <w:rPr>
                <w:i/>
                <w:iCs/>
              </w:rPr>
              <w:t xml:space="preserve">, </w:t>
            </w:r>
            <w:proofErr w:type="spellStart"/>
            <w:r w:rsidRPr="00F9146E">
              <w:rPr>
                <w:i/>
                <w:iCs/>
              </w:rPr>
              <w:t>for</w:t>
            </w:r>
            <w:proofErr w:type="spellEnd"/>
            <w:r w:rsidRPr="00F9146E">
              <w:rPr>
                <w:i/>
                <w:iCs/>
              </w:rPr>
              <w:t xml:space="preserve"> </w:t>
            </w:r>
            <w:proofErr w:type="spellStart"/>
            <w:r w:rsidRPr="00F9146E">
              <w:rPr>
                <w:i/>
                <w:iCs/>
              </w:rPr>
              <w:t>example</w:t>
            </w:r>
            <w:proofErr w:type="spellEnd"/>
            <w:r w:rsidRPr="00F9146E">
              <w:rPr>
                <w:i/>
                <w:iCs/>
              </w:rPr>
              <w:t xml:space="preserve"> in </w:t>
            </w:r>
            <w:proofErr w:type="spellStart"/>
            <w:r w:rsidRPr="00F9146E">
              <w:rPr>
                <w:i/>
                <w:iCs/>
              </w:rPr>
              <w:t>the</w:t>
            </w:r>
            <w:proofErr w:type="spellEnd"/>
            <w:r w:rsidRPr="00F9146E">
              <w:rPr>
                <w:i/>
                <w:iCs/>
              </w:rPr>
              <w:t xml:space="preserve"> </w:t>
            </w:r>
            <w:proofErr w:type="spellStart"/>
            <w:r w:rsidRPr="00F9146E">
              <w:rPr>
                <w:i/>
                <w:iCs/>
              </w:rPr>
              <w:t>explanatory</w:t>
            </w:r>
            <w:proofErr w:type="spellEnd"/>
            <w:r w:rsidRPr="00F9146E">
              <w:rPr>
                <w:i/>
                <w:iCs/>
              </w:rPr>
              <w:t xml:space="preserve"> memorandum of </w:t>
            </w:r>
            <w:proofErr w:type="spellStart"/>
            <w:r w:rsidRPr="00F9146E">
              <w:rPr>
                <w:i/>
                <w:iCs/>
              </w:rPr>
              <w:t>the</w:t>
            </w:r>
            <w:proofErr w:type="spellEnd"/>
            <w:r w:rsidRPr="00F9146E">
              <w:rPr>
                <w:i/>
                <w:iCs/>
              </w:rPr>
              <w:t xml:space="preserve"> </w:t>
            </w:r>
            <w:proofErr w:type="spellStart"/>
            <w:r w:rsidRPr="00F9146E">
              <w:rPr>
                <w:i/>
                <w:iCs/>
              </w:rPr>
              <w:t>proposal</w:t>
            </w:r>
            <w:proofErr w:type="spellEnd"/>
            <w:r w:rsidRPr="00F9146E">
              <w:rPr>
                <w:i/>
                <w:iCs/>
              </w:rPr>
              <w:t xml:space="preserve"> on </w:t>
            </w:r>
            <w:proofErr w:type="spellStart"/>
            <w:r w:rsidRPr="00F9146E">
              <w:rPr>
                <w:i/>
                <w:iCs/>
              </w:rPr>
              <w:t>the</w:t>
            </w:r>
            <w:proofErr w:type="spellEnd"/>
            <w:r w:rsidRPr="00F9146E">
              <w:rPr>
                <w:i/>
                <w:iCs/>
              </w:rPr>
              <w:t xml:space="preserve"> </w:t>
            </w:r>
            <w:proofErr w:type="spellStart"/>
            <w:r w:rsidRPr="00F9146E">
              <w:rPr>
                <w:i/>
                <w:iCs/>
              </w:rPr>
              <w:t>protection</w:t>
            </w:r>
            <w:proofErr w:type="spellEnd"/>
            <w:r w:rsidRPr="00F9146E">
              <w:rPr>
                <w:i/>
                <w:iCs/>
              </w:rPr>
              <w:t xml:space="preserve"> of </w:t>
            </w:r>
            <w:proofErr w:type="spellStart"/>
            <w:r w:rsidRPr="00F9146E">
              <w:rPr>
                <w:i/>
                <w:iCs/>
              </w:rPr>
              <w:t>whistle-blowers</w:t>
            </w:r>
            <w:proofErr w:type="spellEnd"/>
          </w:p>
          <w:p w14:paraId="311D971F" w14:textId="77777777" w:rsidR="00F9146E" w:rsidRPr="00F9146E" w:rsidRDefault="00CB74A7" w:rsidP="00F9146E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8313A9">
              <w:t xml:space="preserve">2021 [3] JURČOVÁ, M. a kol. Spotrebiteľské právo. Praha : </w:t>
            </w:r>
            <w:proofErr w:type="spellStart"/>
            <w:r w:rsidRPr="008313A9">
              <w:t>Wolters</w:t>
            </w:r>
            <w:proofErr w:type="spellEnd"/>
            <w:r w:rsidRPr="008313A9">
              <w:t xml:space="preserve"> </w:t>
            </w:r>
            <w:proofErr w:type="spellStart"/>
            <w:r w:rsidRPr="008313A9">
              <w:t>Kluwer</w:t>
            </w:r>
            <w:proofErr w:type="spellEnd"/>
            <w:r w:rsidRPr="008313A9">
              <w:t xml:space="preserve"> ČR, 2021, s. 118. ISBN 978-80-7598-987-1</w:t>
            </w:r>
          </w:p>
          <w:p w14:paraId="6240615A" w14:textId="77777777" w:rsidR="00F9146E" w:rsidRPr="00F9146E" w:rsidRDefault="00CB74A7" w:rsidP="00F9146E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8313A9">
              <w:t xml:space="preserve">2019 [3] HURDÍK, J. Zneužití práva – z </w:t>
            </w:r>
            <w:proofErr w:type="spellStart"/>
            <w:r w:rsidRPr="008313A9">
              <w:t>nicoty</w:t>
            </w:r>
            <w:proofErr w:type="spellEnd"/>
            <w:r w:rsidRPr="008313A9">
              <w:t xml:space="preserve"> </w:t>
            </w:r>
            <w:proofErr w:type="spellStart"/>
            <w:r w:rsidRPr="008313A9">
              <w:t>univerzální</w:t>
            </w:r>
            <w:proofErr w:type="spellEnd"/>
            <w:r w:rsidRPr="008313A9">
              <w:t xml:space="preserve"> zásada? In </w:t>
            </w:r>
            <w:proofErr w:type="spellStart"/>
            <w:r w:rsidRPr="008313A9">
              <w:t>Právník</w:t>
            </w:r>
            <w:proofErr w:type="spellEnd"/>
            <w:r w:rsidRPr="008313A9">
              <w:t>, roč. 158, č. 12, 2019, s. 1077. ISSN 0231-6625</w:t>
            </w:r>
          </w:p>
          <w:p w14:paraId="329AA28C" w14:textId="1B63E477" w:rsidR="00F83BCB" w:rsidRPr="00F9146E" w:rsidRDefault="00CB74A7" w:rsidP="00F9146E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8313A9">
              <w:t xml:space="preserve">2019 [3] JURČOVÁ, M. et al. </w:t>
            </w:r>
            <w:proofErr w:type="spellStart"/>
            <w:r w:rsidRPr="008313A9">
              <w:t>Social</w:t>
            </w:r>
            <w:proofErr w:type="spellEnd"/>
            <w:r w:rsidRPr="008313A9">
              <w:t xml:space="preserve"> </w:t>
            </w:r>
            <w:proofErr w:type="spellStart"/>
            <w:r w:rsidRPr="008313A9">
              <w:t>function</w:t>
            </w:r>
            <w:proofErr w:type="spellEnd"/>
            <w:r w:rsidRPr="008313A9">
              <w:t xml:space="preserve"> of </w:t>
            </w:r>
            <w:proofErr w:type="spellStart"/>
            <w:r w:rsidRPr="008313A9">
              <w:t>private</w:t>
            </w:r>
            <w:proofErr w:type="spellEnd"/>
            <w:r w:rsidRPr="008313A9">
              <w:t xml:space="preserve"> </w:t>
            </w:r>
            <w:proofErr w:type="spellStart"/>
            <w:r w:rsidRPr="008313A9">
              <w:t>law</w:t>
            </w:r>
            <w:proofErr w:type="spellEnd"/>
            <w:r w:rsidRPr="008313A9">
              <w:t xml:space="preserve"> and </w:t>
            </w:r>
            <w:proofErr w:type="spellStart"/>
            <w:r w:rsidRPr="008313A9">
              <w:t>its</w:t>
            </w:r>
            <w:proofErr w:type="spellEnd"/>
            <w:r w:rsidRPr="008313A9">
              <w:t xml:space="preserve"> </w:t>
            </w:r>
            <w:proofErr w:type="spellStart"/>
            <w:r w:rsidRPr="008313A9">
              <w:t>proliferation</w:t>
            </w:r>
            <w:proofErr w:type="spellEnd"/>
            <w:r w:rsidRPr="008313A9">
              <w:t xml:space="preserve"> by </w:t>
            </w:r>
            <w:proofErr w:type="spellStart"/>
            <w:r w:rsidRPr="008313A9">
              <w:t>applying</w:t>
            </w:r>
            <w:proofErr w:type="spellEnd"/>
            <w:r w:rsidRPr="008313A9">
              <w:t xml:space="preserve"> </w:t>
            </w:r>
            <w:proofErr w:type="spellStart"/>
            <w:r w:rsidRPr="008313A9">
              <w:t>the</w:t>
            </w:r>
            <w:proofErr w:type="spellEnd"/>
            <w:r w:rsidRPr="008313A9">
              <w:t xml:space="preserve"> </w:t>
            </w:r>
            <w:proofErr w:type="spellStart"/>
            <w:r w:rsidRPr="008313A9">
              <w:t>principles</w:t>
            </w:r>
            <w:proofErr w:type="spellEnd"/>
            <w:r w:rsidRPr="008313A9">
              <w:t xml:space="preserve"> of </w:t>
            </w:r>
            <w:proofErr w:type="spellStart"/>
            <w:r w:rsidRPr="008313A9">
              <w:t>European</w:t>
            </w:r>
            <w:proofErr w:type="spellEnd"/>
            <w:r w:rsidRPr="008313A9">
              <w:t xml:space="preserve"> </w:t>
            </w:r>
            <w:proofErr w:type="spellStart"/>
            <w:r w:rsidRPr="008313A9">
              <w:t>private</w:t>
            </w:r>
            <w:proofErr w:type="spellEnd"/>
            <w:r w:rsidRPr="008313A9">
              <w:t xml:space="preserve"> </w:t>
            </w:r>
            <w:proofErr w:type="spellStart"/>
            <w:r w:rsidRPr="008313A9">
              <w:t>law</w:t>
            </w:r>
            <w:proofErr w:type="spellEnd"/>
            <w:r w:rsidRPr="008313A9">
              <w:t>. Praha : Leges, 2019, p. 61,77,100,108. ISBN 978-80-7502-337-7</w:t>
            </w:r>
          </w:p>
        </w:tc>
      </w:tr>
      <w:tr w:rsidR="00FF6B5A" w:rsidRPr="00FF6B5A" w14:paraId="3B46A17F" w14:textId="77777777" w:rsidTr="56705B5E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3A7A8DE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AA311D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1D2865EE" w14:textId="046F77EA" w:rsidR="000F123F" w:rsidRPr="00CB01FF" w:rsidRDefault="000F123F" w:rsidP="000F123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 xml:space="preserve">Príspevok publikovaný v prestížnom časopise Českej akadémie vied, ktorý je v súčasnosti evidovaný v SCOPUS, mal citeľný dopad </w:t>
            </w:r>
            <w:r w:rsidRPr="00CB01FF">
              <w:rPr>
                <w:rFonts w:eastAsia="Times New Roman" w:cstheme="minorHAnsi"/>
                <w:color w:val="000000"/>
                <w:lang w:eastAsia="sk-SK"/>
              </w:rPr>
              <w:t xml:space="preserve">na slovenskú a českú právnu doktrínu ale aj prax. </w:t>
            </w:r>
            <w:r>
              <w:rPr>
                <w:rFonts w:eastAsia="Times New Roman" w:cstheme="minorHAnsi"/>
                <w:color w:val="000000"/>
                <w:lang w:eastAsia="sk-SK"/>
              </w:rPr>
              <w:t>Predstavuje veľmi podrobn</w:t>
            </w:r>
            <w:r w:rsidR="00E87834">
              <w:rPr>
                <w:rFonts w:eastAsia="Times New Roman" w:cstheme="minorHAnsi"/>
                <w:color w:val="000000"/>
                <w:lang w:eastAsia="sk-SK"/>
              </w:rPr>
              <w:t>ý rozbor problematiky obchádzania zákona</w:t>
            </w:r>
            <w:r>
              <w:rPr>
                <w:rFonts w:eastAsia="Times New Roman" w:cstheme="minorHAnsi"/>
                <w:color w:val="000000"/>
                <w:lang w:eastAsia="sk-SK"/>
              </w:rPr>
              <w:t>. Nastavuje zrkadlo doterajšiemu spôsobu prácu doktríny aj aplikačnej praxe s právnym inštitútom obchádzania práva</w:t>
            </w:r>
            <w:r w:rsidR="00E87834">
              <w:rPr>
                <w:rFonts w:eastAsia="Times New Roman" w:cstheme="minorHAnsi"/>
                <w:color w:val="000000"/>
                <w:lang w:eastAsia="sk-SK"/>
              </w:rPr>
              <w:t xml:space="preserve"> a jeho súvislosti so zneužitím práva</w:t>
            </w:r>
            <w:r>
              <w:rPr>
                <w:rFonts w:eastAsia="Times New Roman" w:cstheme="minorHAnsi"/>
                <w:color w:val="000000"/>
                <w:lang w:eastAsia="sk-SK"/>
              </w:rPr>
              <w:t>.</w:t>
            </w:r>
            <w:r w:rsidRPr="00CB01F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sk-SK"/>
              </w:rPr>
              <w:t>Príspevok predstavuje základný referenčný zdroj pre problematiku obchádzania zákona v súkromnom práve v českom a slovenskom právnom prostredí. Význam príspevku je zdôraznený aj referenciou v plenárnom rozhodnutí Ústavného súdu Slovenskej republiky, či v českej normotvorbe.</w:t>
            </w:r>
          </w:p>
          <w:p w14:paraId="3EB76848" w14:textId="77777777" w:rsidR="000F123F" w:rsidRDefault="000F123F" w:rsidP="00FF6B5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sk-SK"/>
              </w:rPr>
            </w:pPr>
          </w:p>
          <w:p w14:paraId="6038C017" w14:textId="1776468D" w:rsidR="00FF6B5A" w:rsidRPr="00BA2529" w:rsidRDefault="00E7098F" w:rsidP="00FF6B5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sk-SK"/>
              </w:rPr>
            </w:pP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article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published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prestigious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journal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Czech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Academy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Sciences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which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currently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registered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SCOPUS, had a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noticeable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impact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on Slovak and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Czech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doctrine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practice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presents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a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very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detailed</w:t>
            </w:r>
            <w:proofErr w:type="spellEnd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analysis</w:t>
            </w:r>
            <w:proofErr w:type="spellEnd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circumvention</w:t>
            </w:r>
            <w:proofErr w:type="spellEnd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its</w:t>
            </w:r>
            <w:proofErr w:type="spellEnd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interaction</w:t>
            </w:r>
            <w:proofErr w:type="spellEnd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with</w:t>
            </w:r>
            <w:proofErr w:type="spellEnd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abuse</w:t>
            </w:r>
            <w:proofErr w:type="spellEnd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="00E87834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sets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mirror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to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way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both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doctrine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application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practice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have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been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working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with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institution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circumvention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paper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represents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basic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reference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source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issue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circumvention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private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Czech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Slovak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environment</w:t>
            </w:r>
            <w:proofErr w:type="spellEnd"/>
            <w:r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.</w:t>
            </w:r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impact</w:t>
            </w:r>
            <w:proofErr w:type="spellEnd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</w:t>
            </w:r>
            <w:proofErr w:type="spellEnd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underlined</w:t>
            </w:r>
            <w:proofErr w:type="spellEnd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by a </w:t>
            </w:r>
            <w:proofErr w:type="spellStart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reference</w:t>
            </w:r>
            <w:proofErr w:type="spellEnd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by a Slovak </w:t>
            </w:r>
            <w:proofErr w:type="spellStart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Constitutional</w:t>
            </w:r>
            <w:proofErr w:type="spellEnd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Court</w:t>
            </w:r>
            <w:proofErr w:type="spellEnd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plenary</w:t>
            </w:r>
            <w:proofErr w:type="spellEnd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decision</w:t>
            </w:r>
            <w:proofErr w:type="spellEnd"/>
            <w:r w:rsidR="00F9146E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="00F9146E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F9146E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F9146E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Czech</w:t>
            </w:r>
            <w:proofErr w:type="spellEnd"/>
            <w:r w:rsidR="00F9146E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F9146E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="00F9146E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F9146E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making</w:t>
            </w:r>
            <w:proofErr w:type="spellEnd"/>
            <w:r w:rsidR="00E31030" w:rsidRPr="00BA2529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.</w:t>
            </w:r>
          </w:p>
          <w:p w14:paraId="2CF12C8B" w14:textId="617C3547" w:rsidR="00CB01FF" w:rsidRPr="00CB01FF" w:rsidRDefault="00CB01FF" w:rsidP="00CB01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sk-SK"/>
              </w:rPr>
            </w:pPr>
          </w:p>
        </w:tc>
      </w:tr>
      <w:tr w:rsidR="00FF6B5A" w:rsidRPr="00FF6B5A" w14:paraId="6B2AB384" w14:textId="77777777" w:rsidTr="56705B5E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1FAE462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7BC6F94C" w14:textId="6605B9A9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41321F0D" w14:textId="77777777" w:rsidR="00E73D35" w:rsidRPr="00CB01FF" w:rsidRDefault="00615BB4" w:rsidP="00E73D3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lastRenderedPageBreak/>
              <w:t>Publikácia</w:t>
            </w:r>
            <w:r w:rsidR="00F92527" w:rsidRPr="00CB01F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="00E73D35">
              <w:rPr>
                <w:rFonts w:eastAsia="Times New Roman" w:cstheme="minorHAnsi"/>
                <w:color w:val="000000"/>
                <w:lang w:eastAsia="sk-SK"/>
              </w:rPr>
              <w:t xml:space="preserve">je referenčný zdroj pre danú tému aj vo výučbe na prvom a druhom stupni výučby. Intenzívnejšie </w:t>
            </w:r>
            <w:r w:rsidR="00E73D35" w:rsidRPr="00CB01FF">
              <w:rPr>
                <w:rFonts w:eastAsia="Times New Roman" w:cstheme="minorHAnsi"/>
                <w:color w:val="000000"/>
                <w:lang w:eastAsia="sk-SK"/>
              </w:rPr>
              <w:t xml:space="preserve">sa využíva vo výučbe v treťom stupni, pri štúdiu občianskeho práva. Zároveň je využívaná pri výučbe komparatívnej metódy výskumu v treťom stupni štúdia. </w:t>
            </w:r>
          </w:p>
          <w:p w14:paraId="3ADDFFE7" w14:textId="77777777" w:rsidR="00E73D35" w:rsidRPr="00CB01FF" w:rsidRDefault="00E73D35" w:rsidP="00E73D3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1B56C75B" w14:textId="71AF1403" w:rsidR="00E620D5" w:rsidRPr="00CB01FF" w:rsidRDefault="00E73D35" w:rsidP="00E73D3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publication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also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reference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source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topic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teaching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first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second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level of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university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studies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used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more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intensively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teaching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at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lastRenderedPageBreak/>
              <w:t>third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level, in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study of civil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also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used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teaching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comparative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method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research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third</w:t>
            </w:r>
            <w:proofErr w:type="spellEnd"/>
            <w:r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level of </w:t>
            </w:r>
            <w:r w:rsidR="00A1714B" w:rsidRPr="00A1714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study.</w:t>
            </w:r>
          </w:p>
        </w:tc>
      </w:tr>
      <w:tr w:rsidR="00FF6B5A" w:rsidRPr="00FF6B5A" w14:paraId="5D0976C9" w14:textId="77777777" w:rsidTr="56705B5E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6035B76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9CC5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B15BAE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6170AE3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4B61A49D" w14:textId="27FEC052" w:rsidR="003C7698" w:rsidRDefault="003C7698" w:rsidP="00CB01FF"/>
    <w:sectPr w:rsidR="003C7698" w:rsidSect="008E210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EF7FD" w14:textId="77777777" w:rsidR="00645EEF" w:rsidRDefault="00645EEF" w:rsidP="00816E73">
      <w:pPr>
        <w:spacing w:after="0" w:line="240" w:lineRule="auto"/>
      </w:pPr>
      <w:r>
        <w:separator/>
      </w:r>
    </w:p>
  </w:endnote>
  <w:endnote w:type="continuationSeparator" w:id="0">
    <w:p w14:paraId="5EBF6BD9" w14:textId="77777777" w:rsidR="00645EEF" w:rsidRDefault="00645EEF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7713" w14:textId="77777777" w:rsidR="00B15040" w:rsidRDefault="00B150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F9F0" w14:textId="77777777" w:rsidR="00A23768" w:rsidRDefault="00A23768">
    <w:pPr>
      <w:pStyle w:val="Pta"/>
    </w:pPr>
    <w:r w:rsidRPr="00A23768">
      <w:t>T_Z_VTCAj_1/ 2020</w:t>
    </w:r>
  </w:p>
  <w:p w14:paraId="52AD5802" w14:textId="77777777" w:rsidR="00A23768" w:rsidRDefault="00A23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33F8" w14:textId="77777777" w:rsidR="00B15040" w:rsidRDefault="00B15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B092" w14:textId="77777777" w:rsidR="00645EEF" w:rsidRDefault="00645EEF" w:rsidP="00816E73">
      <w:pPr>
        <w:spacing w:after="0" w:line="240" w:lineRule="auto"/>
      </w:pPr>
      <w:r>
        <w:separator/>
      </w:r>
    </w:p>
  </w:footnote>
  <w:footnote w:type="continuationSeparator" w:id="0">
    <w:p w14:paraId="2F18A27D" w14:textId="77777777" w:rsidR="00645EEF" w:rsidRDefault="00645EEF" w:rsidP="00816E73">
      <w:pPr>
        <w:spacing w:after="0" w:line="240" w:lineRule="auto"/>
      </w:pPr>
      <w:r>
        <w:continuationSeparator/>
      </w:r>
    </w:p>
  </w:footnote>
  <w:footnote w:id="1">
    <w:p w14:paraId="2CD787C4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63803475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48694691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09C50F4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67E6FDA3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239D4BEE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476AAA6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377D7D32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6438A74D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3FB3" w14:textId="77777777" w:rsidR="00B15040" w:rsidRDefault="00B150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520C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0A3E7C4A" wp14:editId="1A32E067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3AA45141" w14:textId="77777777" w:rsidR="006849EB" w:rsidRDefault="006849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F920" w14:textId="77777777" w:rsidR="00B15040" w:rsidRDefault="00B150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41C0"/>
    <w:multiLevelType w:val="hybridMultilevel"/>
    <w:tmpl w:val="FEFA8A6A"/>
    <w:lvl w:ilvl="0" w:tplc="260E49A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9F9"/>
    <w:multiLevelType w:val="hybridMultilevel"/>
    <w:tmpl w:val="3C04E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526337">
    <w:abstractNumId w:val="1"/>
  </w:num>
  <w:num w:numId="2" w16cid:durableId="213929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BD"/>
    <w:rsid w:val="00011981"/>
    <w:rsid w:val="00035C52"/>
    <w:rsid w:val="00073EC9"/>
    <w:rsid w:val="0008088C"/>
    <w:rsid w:val="00087B3E"/>
    <w:rsid w:val="000B6686"/>
    <w:rsid w:val="000C473D"/>
    <w:rsid w:val="000C7402"/>
    <w:rsid w:val="000D326C"/>
    <w:rsid w:val="000F123F"/>
    <w:rsid w:val="00102D82"/>
    <w:rsid w:val="00112F47"/>
    <w:rsid w:val="001A42DD"/>
    <w:rsid w:val="001E5182"/>
    <w:rsid w:val="001F26CD"/>
    <w:rsid w:val="00222794"/>
    <w:rsid w:val="00255867"/>
    <w:rsid w:val="002833F5"/>
    <w:rsid w:val="002E1DFA"/>
    <w:rsid w:val="002F7486"/>
    <w:rsid w:val="003400AF"/>
    <w:rsid w:val="003C7698"/>
    <w:rsid w:val="003D7300"/>
    <w:rsid w:val="004038BC"/>
    <w:rsid w:val="00422600"/>
    <w:rsid w:val="0044514C"/>
    <w:rsid w:val="004663AA"/>
    <w:rsid w:val="0047355F"/>
    <w:rsid w:val="004A4A06"/>
    <w:rsid w:val="004C347F"/>
    <w:rsid w:val="004D5CBD"/>
    <w:rsid w:val="004E364A"/>
    <w:rsid w:val="004E4845"/>
    <w:rsid w:val="004F6F4A"/>
    <w:rsid w:val="00502F15"/>
    <w:rsid w:val="00532FE9"/>
    <w:rsid w:val="00546BD2"/>
    <w:rsid w:val="00555FFD"/>
    <w:rsid w:val="005622F0"/>
    <w:rsid w:val="00572798"/>
    <w:rsid w:val="005B4A19"/>
    <w:rsid w:val="005D59E4"/>
    <w:rsid w:val="005F64A8"/>
    <w:rsid w:val="00615BB4"/>
    <w:rsid w:val="00645EEF"/>
    <w:rsid w:val="00675F63"/>
    <w:rsid w:val="006849EB"/>
    <w:rsid w:val="006910D5"/>
    <w:rsid w:val="006A3796"/>
    <w:rsid w:val="008062B7"/>
    <w:rsid w:val="00816E73"/>
    <w:rsid w:val="008358CC"/>
    <w:rsid w:val="00852916"/>
    <w:rsid w:val="00852CC7"/>
    <w:rsid w:val="008B78D7"/>
    <w:rsid w:val="008E2108"/>
    <w:rsid w:val="00942518"/>
    <w:rsid w:val="009547F9"/>
    <w:rsid w:val="00975300"/>
    <w:rsid w:val="00980601"/>
    <w:rsid w:val="009B1D30"/>
    <w:rsid w:val="009B6DDF"/>
    <w:rsid w:val="009C64D6"/>
    <w:rsid w:val="00A1714B"/>
    <w:rsid w:val="00A23768"/>
    <w:rsid w:val="00A455BA"/>
    <w:rsid w:val="00AE207E"/>
    <w:rsid w:val="00B15040"/>
    <w:rsid w:val="00B22EA0"/>
    <w:rsid w:val="00B34BB1"/>
    <w:rsid w:val="00BA1526"/>
    <w:rsid w:val="00BA2529"/>
    <w:rsid w:val="00C01D1D"/>
    <w:rsid w:val="00C40D4D"/>
    <w:rsid w:val="00C533A1"/>
    <w:rsid w:val="00C63E2F"/>
    <w:rsid w:val="00C86832"/>
    <w:rsid w:val="00CB01FF"/>
    <w:rsid w:val="00CB74A7"/>
    <w:rsid w:val="00CE0732"/>
    <w:rsid w:val="00CE5D14"/>
    <w:rsid w:val="00D62D6A"/>
    <w:rsid w:val="00D64B7C"/>
    <w:rsid w:val="00D733AB"/>
    <w:rsid w:val="00DB2771"/>
    <w:rsid w:val="00DF77E6"/>
    <w:rsid w:val="00E31030"/>
    <w:rsid w:val="00E6009F"/>
    <w:rsid w:val="00E620D5"/>
    <w:rsid w:val="00E7098F"/>
    <w:rsid w:val="00E73D35"/>
    <w:rsid w:val="00E87834"/>
    <w:rsid w:val="00EA434E"/>
    <w:rsid w:val="00EC403D"/>
    <w:rsid w:val="00F40F87"/>
    <w:rsid w:val="00F83BCB"/>
    <w:rsid w:val="00F9146E"/>
    <w:rsid w:val="00F92527"/>
    <w:rsid w:val="00FE27EC"/>
    <w:rsid w:val="00FF4276"/>
    <w:rsid w:val="00FF6B5A"/>
    <w:rsid w:val="3C7706BA"/>
    <w:rsid w:val="5670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55338"/>
  <w15:docId w15:val="{EB62095B-05E5-40B4-89EC-704BB8FC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3C769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C7698"/>
    <w:pPr>
      <w:ind w:left="720"/>
      <w:contextualSpacing/>
    </w:pPr>
  </w:style>
  <w:style w:type="paragraph" w:customStyle="1" w:styleId="paragraph">
    <w:name w:val="paragraph"/>
    <w:basedOn w:val="Normlny"/>
    <w:rsid w:val="00B2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22EA0"/>
  </w:style>
  <w:style w:type="character" w:customStyle="1" w:styleId="spellingerror">
    <w:name w:val="spellingerror"/>
    <w:basedOn w:val="Predvolenpsmoodseku"/>
    <w:rsid w:val="00B22EA0"/>
  </w:style>
  <w:style w:type="character" w:customStyle="1" w:styleId="eop">
    <w:name w:val="eop"/>
    <w:basedOn w:val="Predvolenpsmoodseku"/>
    <w:rsid w:val="00B22EA0"/>
  </w:style>
  <w:style w:type="character" w:customStyle="1" w:styleId="authorname">
    <w:name w:val="author_name"/>
    <w:basedOn w:val="Predvolenpsmoodseku"/>
    <w:rsid w:val="004A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8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7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0" Type="http://schemas.openxmlformats.org/officeDocument/2006/relationships/hyperlink" Target="https://app.crepc.sk/?fn=detailBiblioForm&amp;sid=75C0D41DD8E8F0254F8FED7B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4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8DACC-4CA2-492D-8A72-C9AC36C01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BF1D4-FD57-4E7C-9DAC-D218D461B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4B33F8-51BB-4630-BC30-75FE8F880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A6B58-5B05-4AAB-B7E4-42E6748E1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2142</Words>
  <Characters>12216</Characters>
  <Application>Microsoft Office Word</Application>
  <DocSecurity>0</DocSecurity>
  <Lines>101</Lines>
  <Paragraphs>28</Paragraphs>
  <ScaleCrop>false</ScaleCrop>
  <Company>Trnavska univerzita</Company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18</cp:revision>
  <dcterms:created xsi:type="dcterms:W3CDTF">2022-01-18T21:53:00Z</dcterms:created>
  <dcterms:modified xsi:type="dcterms:W3CDTF">2025-08-26T08:58:00Z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72900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