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409"/>
        <w:gridCol w:w="2091"/>
        <w:gridCol w:w="7417"/>
      </w:tblGrid>
      <w:tr w:rsidR="00FF6B5A" w:rsidRPr="00FF6B5A" w14:paraId="4B342E66" w14:textId="77777777" w:rsidTr="1F0121C8">
        <w:trPr>
          <w:trHeight w:val="204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6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42E6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42E64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B342E65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4B342E69" w14:textId="77777777" w:rsidTr="1F0121C8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4B342E67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2F5597"/>
            <w:vAlign w:val="center"/>
            <w:hideMark/>
          </w:tcPr>
          <w:p w14:paraId="4B342E68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Charakteristika predkladaného výstupu tvorivej činnosti / </w:t>
            </w:r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br/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submitted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/ 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  <w:t xml:space="preserve"> output</w:t>
            </w:r>
          </w:p>
        </w:tc>
      </w:tr>
      <w:tr w:rsidR="00FF6B5A" w:rsidRPr="00FF6B5A" w14:paraId="4B342E6C" w14:textId="77777777" w:rsidTr="1F0121C8">
        <w:trPr>
          <w:trHeight w:val="450"/>
        </w:trPr>
        <w:tc>
          <w:tcPr>
            <w:tcW w:w="0" w:type="auto"/>
            <w:shd w:val="clear" w:color="auto" w:fill="auto"/>
            <w:vAlign w:val="center"/>
            <w:hideMark/>
          </w:tcPr>
          <w:p w14:paraId="4B342E6A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4B342E6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lang w:eastAsia="sk-SK"/>
              </w:rPr>
            </w:pPr>
          </w:p>
        </w:tc>
      </w:tr>
      <w:tr w:rsidR="00FF6B5A" w:rsidRPr="00FF6B5A" w14:paraId="4B342E71" w14:textId="77777777" w:rsidTr="1F0121C8">
        <w:trPr>
          <w:trHeight w:val="6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6D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42E6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42E6F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B342E70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4B342E74" w14:textId="77777777" w:rsidTr="1F0121C8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72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auto"/>
            <w:vAlign w:val="bottom"/>
            <w:hideMark/>
          </w:tcPr>
          <w:p w14:paraId="4B342E7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Tlačivo VTC slúži na predkladanie výstupov tvorivej činnosti podľa metodiky hodnotenia tvorivých činností (časť V. Metodiky na vyhodnocovanie štandardov)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form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used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submit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outputs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according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(part V.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Methodology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for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Standards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>Evaluation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  <w:t xml:space="preserve">). </w:t>
            </w:r>
          </w:p>
        </w:tc>
      </w:tr>
      <w:tr w:rsidR="00FF6B5A" w:rsidRPr="00FF6B5A" w14:paraId="4B342E77" w14:textId="77777777" w:rsidTr="1F0121C8">
        <w:trPr>
          <w:trHeight w:val="37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7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4B342E76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2F5597"/>
                <w:lang w:eastAsia="sk-SK"/>
              </w:rPr>
            </w:pPr>
          </w:p>
        </w:tc>
      </w:tr>
      <w:tr w:rsidR="00FF6B5A" w:rsidRPr="00FF6B5A" w14:paraId="4B342E7C" w14:textId="77777777" w:rsidTr="1F0121C8">
        <w:trPr>
          <w:trHeight w:val="9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7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42E7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42E7A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B342E7B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4B342E81" w14:textId="77777777" w:rsidTr="1F0121C8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7D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42E7E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4B342E7F" w14:textId="77777777" w:rsidR="00FF6B5A" w:rsidRPr="00FF6B5A" w:rsidRDefault="00925FA9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1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ID konania/ID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procedure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: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1"/>
            </w:r>
          </w:p>
        </w:tc>
        <w:tc>
          <w:tcPr>
            <w:tcW w:w="0" w:type="auto"/>
            <w:shd w:val="clear" w:color="auto" w:fill="auto"/>
            <w:hideMark/>
          </w:tcPr>
          <w:p w14:paraId="4B342E80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4B342E86" w14:textId="77777777" w:rsidTr="1F0121C8">
        <w:trPr>
          <w:trHeight w:val="34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8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42E83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bookmarkStart w:id="0" w:name="RANGE!C9"/>
        <w:tc>
          <w:tcPr>
            <w:tcW w:w="0" w:type="auto"/>
            <w:shd w:val="clear" w:color="auto" w:fill="D9E1F2"/>
            <w:vAlign w:val="center"/>
            <w:hideMark/>
          </w:tcPr>
          <w:p w14:paraId="4B342E8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begin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instrText xml:space="preserve"> HYPERLINK "file:///E:\\_Docs%20&amp;amp;%20Rozne\\DOC\\Doc\\Zbornik&amp;amp;Doc\\Nový\\Nový_doc\\__Webstr\\z_POM\\Doc\\Nový\\Hodnot%20sprava\\Intranet\\IMG%20web\\Nový%20priečinok\\T_Z_VTC_SjAj_1-2020.xlsx" \l "'poznamky_explanatory notes'!A1" </w:instrText>
            </w:r>
            <w:r w:rsidRPr="00FF6B5A">
              <w:rPr>
                <w:rFonts w:ascii="Calibri" w:eastAsia="Times New Roman" w:hAnsi="Calibri" w:cs="Times New Roman"/>
                <w:lang w:eastAsia="sk-SK"/>
              </w:rPr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separate"/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t>Kód VTC/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Code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lang w:eastAsia="sk-SK"/>
              </w:rPr>
              <w:t xml:space="preserve"> output (RAOO):</w:t>
            </w:r>
            <w:r w:rsidRPr="00FF6B5A">
              <w:rPr>
                <w:rFonts w:ascii="Calibri" w:eastAsia="Times New Roman" w:hAnsi="Calibri" w:cs="Times New Roman"/>
                <w:vertAlign w:val="superscript"/>
                <w:lang w:eastAsia="sk-SK"/>
              </w:rPr>
              <w:t>1</w:t>
            </w:r>
            <w:r w:rsidRPr="00FF6B5A">
              <w:rPr>
                <w:rFonts w:ascii="Calibri" w:eastAsia="Times New Roman" w:hAnsi="Calibri" w:cs="Times New Roman"/>
                <w:lang w:eastAsia="sk-SK"/>
              </w:rPr>
              <w:fldChar w:fldCharType="end"/>
            </w:r>
            <w:bookmarkEnd w:id="0"/>
          </w:p>
        </w:tc>
        <w:tc>
          <w:tcPr>
            <w:tcW w:w="0" w:type="auto"/>
            <w:shd w:val="clear" w:color="auto" w:fill="auto"/>
            <w:hideMark/>
          </w:tcPr>
          <w:p w14:paraId="4B342E85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4B342E8B" w14:textId="77777777" w:rsidTr="1F0121C8">
        <w:trPr>
          <w:trHeight w:val="40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87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42E88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342E89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14:paraId="4B342E8A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FF6B5A" w:rsidRPr="00FF6B5A" w14:paraId="4B342E8F" w14:textId="77777777" w:rsidTr="1F0121C8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8C" w14:textId="77777777" w:rsidR="00FF6B5A" w:rsidRPr="00FF6B5A" w:rsidRDefault="00FF6B5A" w:rsidP="00FF6B5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342E8D" w14:textId="77777777" w:rsidR="00FF6B5A" w:rsidRPr="00FF6B5A" w:rsidRDefault="00925FA9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OCA1.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Priezvisko hodnotenej osob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y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Surname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2"/>
            </w:r>
          </w:p>
        </w:tc>
        <w:tc>
          <w:tcPr>
            <w:tcW w:w="0" w:type="auto"/>
            <w:shd w:val="clear" w:color="auto" w:fill="auto"/>
            <w:hideMark/>
          </w:tcPr>
          <w:p w14:paraId="4B342E8E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Križan</w:t>
            </w:r>
          </w:p>
        </w:tc>
      </w:tr>
      <w:tr w:rsidR="00FF6B5A" w:rsidRPr="00FF6B5A" w14:paraId="4B342E93" w14:textId="77777777" w:rsidTr="1F0121C8">
        <w:trPr>
          <w:trHeight w:val="31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9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342E91" w14:textId="77777777" w:rsidR="00FF6B5A" w:rsidRPr="00FF6B5A" w:rsidRDefault="00925FA9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3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OCA2.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Meno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Name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B342E92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Viktor</w:t>
            </w:r>
          </w:p>
        </w:tc>
      </w:tr>
      <w:tr w:rsidR="00FF6B5A" w:rsidRPr="00FF6B5A" w14:paraId="4B342E97" w14:textId="77777777" w:rsidTr="1F0121C8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9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342E95" w14:textId="77777777" w:rsidR="00FF6B5A" w:rsidRPr="00FF6B5A" w:rsidRDefault="00925FA9" w:rsidP="00FF6B5A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4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OCA3.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Tituly hodnotenej osoby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Degrees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awarded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</w:t>
              </w:r>
              <w:r w:rsidR="00FF6B5A" w:rsidRPr="00FF6B5A">
                <w:rPr>
                  <w:rFonts w:ascii="Calibri" w:eastAsia="Times New Roman" w:hAnsi="Calibri" w:cs="Times New Roman"/>
                  <w:vertAlign w:val="superscript"/>
                  <w:lang w:eastAsia="sk-SK"/>
                </w:rPr>
                <w:t>2</w:t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B342E96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doc. JUDr., PhD.</w:t>
            </w:r>
          </w:p>
        </w:tc>
      </w:tr>
      <w:tr w:rsidR="00FF6B5A" w:rsidRPr="00FF6B5A" w14:paraId="4B342E9B" w14:textId="77777777" w:rsidTr="1F0121C8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98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342E99" w14:textId="77777777" w:rsidR="00FF6B5A" w:rsidRPr="00FF6B5A" w:rsidRDefault="00925FA9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5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OCA4.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na záznam osoby v Registri zamestnancov vysokých škôl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entry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person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university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staff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3"/>
            </w:r>
          </w:p>
        </w:tc>
        <w:tc>
          <w:tcPr>
            <w:tcW w:w="0" w:type="auto"/>
            <w:shd w:val="clear" w:color="auto" w:fill="auto"/>
            <w:hideMark/>
          </w:tcPr>
          <w:p w14:paraId="4B342E9A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1335DE" w:rsidRPr="001335DE">
              <w:rPr>
                <w:rFonts w:ascii="Calibri" w:eastAsia="Times New Roman" w:hAnsi="Calibri" w:cs="Times New Roman"/>
                <w:color w:val="000000"/>
                <w:lang w:eastAsia="sk-SK"/>
              </w:rPr>
              <w:t>https://www.portalvs.sk/regzam/detail/8758</w:t>
            </w:r>
          </w:p>
        </w:tc>
      </w:tr>
      <w:tr w:rsidR="00FF6B5A" w:rsidRPr="00FF6B5A" w14:paraId="4B342E9F" w14:textId="77777777" w:rsidTr="1F0121C8">
        <w:trPr>
          <w:trHeight w:val="30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9C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342E9D" w14:textId="77777777" w:rsidR="00FF6B5A" w:rsidRPr="00FF6B5A" w:rsidRDefault="00925FA9" w:rsidP="004E4845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6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Oblasť posudzovania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Area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assessment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4E4845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4"/>
            </w:r>
          </w:p>
        </w:tc>
        <w:tc>
          <w:tcPr>
            <w:tcW w:w="0" w:type="auto"/>
            <w:shd w:val="clear" w:color="auto" w:fill="auto"/>
            <w:hideMark/>
          </w:tcPr>
          <w:p w14:paraId="4B342E9E" w14:textId="73D8B6F5" w:rsidR="00FF6B5A" w:rsidRPr="00FF6B5A" w:rsidRDefault="00F955AF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B01FF">
              <w:rPr>
                <w:rFonts w:cstheme="minorHAnsi"/>
              </w:rPr>
              <w:t xml:space="preserve">Študijný program </w:t>
            </w:r>
            <w:r>
              <w:rPr>
                <w:rFonts w:cstheme="minorHAnsi"/>
              </w:rPr>
              <w:t>Pracovné</w:t>
            </w:r>
            <w:r w:rsidRPr="00CB01FF">
              <w:rPr>
                <w:rFonts w:cstheme="minorHAnsi"/>
              </w:rPr>
              <w:t xml:space="preserve"> právo, 3. stupeň / </w:t>
            </w:r>
            <w:proofErr w:type="spellStart"/>
            <w:r w:rsidRPr="00CB01FF">
              <w:rPr>
                <w:rFonts w:cstheme="minorHAnsi"/>
              </w:rPr>
              <w:t>Third</w:t>
            </w:r>
            <w:proofErr w:type="spellEnd"/>
            <w:r w:rsidRPr="00CB01FF"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degree</w:t>
            </w:r>
            <w:proofErr w:type="spellEnd"/>
            <w:r w:rsidRPr="00CB01FF">
              <w:rPr>
                <w:rFonts w:cstheme="minorHAnsi"/>
              </w:rPr>
              <w:t xml:space="preserve"> study programe "</w:t>
            </w:r>
            <w:proofErr w:type="spellStart"/>
            <w:r>
              <w:rPr>
                <w:rFonts w:cstheme="minorHAnsi"/>
              </w:rPr>
              <w:t>Labour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 w:rsidRPr="00CB01FF">
              <w:rPr>
                <w:rFonts w:cstheme="minorHAnsi"/>
              </w:rPr>
              <w:t>law</w:t>
            </w:r>
            <w:proofErr w:type="spellEnd"/>
            <w:r w:rsidRPr="00CB01FF">
              <w:rPr>
                <w:rFonts w:cstheme="minorHAnsi"/>
              </w:rPr>
              <w:t>"</w:t>
            </w:r>
            <w:r w:rsidR="00A310B5">
              <w:rPr>
                <w:rFonts w:cstheme="minorHAnsi"/>
              </w:rPr>
              <w:t>/</w:t>
            </w:r>
            <w:r w:rsidR="00925FA9">
              <w:rPr>
                <w:rFonts w:cstheme="minorHAnsi"/>
              </w:rPr>
              <w:t xml:space="preserve"> </w:t>
            </w:r>
            <w:r w:rsidR="00925FA9">
              <w:t xml:space="preserve">Odbor habilitačného a inauguračného konania: </w:t>
            </w:r>
            <w:r w:rsidR="00925FA9">
              <w:t>Pracovné právo</w:t>
            </w:r>
            <w:r w:rsidR="00925FA9">
              <w:t xml:space="preserve"> / </w:t>
            </w:r>
            <w:proofErr w:type="spellStart"/>
            <w:r w:rsidR="00925FA9" w:rsidRPr="00A95EE7">
              <w:t>The</w:t>
            </w:r>
            <w:proofErr w:type="spellEnd"/>
            <w:r w:rsidR="00925FA9" w:rsidRPr="00A95EE7">
              <w:t xml:space="preserve"> </w:t>
            </w:r>
            <w:proofErr w:type="spellStart"/>
            <w:r w:rsidR="00925FA9" w:rsidRPr="00A95EE7">
              <w:t>field</w:t>
            </w:r>
            <w:proofErr w:type="spellEnd"/>
            <w:r w:rsidR="00925FA9" w:rsidRPr="00A95EE7">
              <w:t xml:space="preserve"> of </w:t>
            </w:r>
            <w:proofErr w:type="spellStart"/>
            <w:r w:rsidR="00925FA9" w:rsidRPr="00A95EE7">
              <w:t>the</w:t>
            </w:r>
            <w:proofErr w:type="spellEnd"/>
            <w:r w:rsidR="00925FA9" w:rsidRPr="00A95EE7">
              <w:t xml:space="preserve"> </w:t>
            </w:r>
            <w:proofErr w:type="spellStart"/>
            <w:r w:rsidR="00925FA9" w:rsidRPr="00A95EE7">
              <w:t>habilitation</w:t>
            </w:r>
            <w:proofErr w:type="spellEnd"/>
            <w:r w:rsidR="00925FA9" w:rsidRPr="00A95EE7">
              <w:t xml:space="preserve"> </w:t>
            </w:r>
            <w:proofErr w:type="spellStart"/>
            <w:r w:rsidR="00925FA9" w:rsidRPr="00A95EE7">
              <w:t>procedure</w:t>
            </w:r>
            <w:proofErr w:type="spellEnd"/>
            <w:r w:rsidR="00925FA9" w:rsidRPr="00A95EE7">
              <w:t xml:space="preserve"> and </w:t>
            </w:r>
            <w:proofErr w:type="spellStart"/>
            <w:r w:rsidR="00925FA9" w:rsidRPr="00A95EE7">
              <w:t>inaugural</w:t>
            </w:r>
            <w:proofErr w:type="spellEnd"/>
            <w:r w:rsidR="00925FA9" w:rsidRPr="00A95EE7">
              <w:t xml:space="preserve"> </w:t>
            </w:r>
            <w:proofErr w:type="spellStart"/>
            <w:r w:rsidR="00925FA9" w:rsidRPr="00A95EE7">
              <w:t>procedure</w:t>
            </w:r>
            <w:proofErr w:type="spellEnd"/>
            <w:r w:rsidR="00925FA9" w:rsidRPr="00A95EE7">
              <w:t xml:space="preserve">: </w:t>
            </w:r>
            <w:r w:rsidR="00925FA9">
              <w:t>"</w:t>
            </w:r>
            <w:proofErr w:type="spellStart"/>
            <w:r w:rsidR="00925FA9">
              <w:t>Labour</w:t>
            </w:r>
            <w:proofErr w:type="spellEnd"/>
            <w:r w:rsidR="00925FA9">
              <w:t xml:space="preserve"> </w:t>
            </w:r>
            <w:proofErr w:type="spellStart"/>
            <w:r w:rsidR="00925FA9">
              <w:t>Law</w:t>
            </w:r>
            <w:proofErr w:type="spellEnd"/>
            <w:r w:rsidR="00925FA9">
              <w:t>"</w:t>
            </w:r>
          </w:p>
        </w:tc>
      </w:tr>
      <w:tr w:rsidR="008E2108" w:rsidRPr="00FF6B5A" w14:paraId="4B342EA3" w14:textId="77777777" w:rsidTr="1F0121C8">
        <w:trPr>
          <w:trHeight w:val="300"/>
        </w:trPr>
        <w:tc>
          <w:tcPr>
            <w:tcW w:w="0" w:type="auto"/>
            <w:shd w:val="clear" w:color="auto" w:fill="auto"/>
            <w:vAlign w:val="bottom"/>
          </w:tcPr>
          <w:p w14:paraId="4B342EA0" w14:textId="77777777" w:rsidR="008E2108" w:rsidRPr="00FF6B5A" w:rsidRDefault="008E2108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4B342EA1" w14:textId="3AC0BB3D" w:rsidR="008E2108" w:rsidRDefault="00540DB4" w:rsidP="004E4845">
            <w:pPr>
              <w:spacing w:after="0" w:line="240" w:lineRule="auto"/>
            </w:pPr>
            <w:r w:rsidRPr="00FE55BD">
              <w:rPr>
                <w:b/>
              </w:rPr>
              <w:t>Zaradenie (PF TU)</w:t>
            </w:r>
          </w:p>
        </w:tc>
        <w:tc>
          <w:tcPr>
            <w:tcW w:w="0" w:type="auto"/>
            <w:shd w:val="clear" w:color="auto" w:fill="auto"/>
          </w:tcPr>
          <w:p w14:paraId="4B342EA2" w14:textId="356CF818" w:rsidR="008E2108" w:rsidRPr="00FF6B5A" w:rsidRDefault="00816DC1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7BE37227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A</w:t>
            </w:r>
            <w:r w:rsidR="006E28A1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+</w:t>
            </w:r>
          </w:p>
        </w:tc>
      </w:tr>
      <w:tr w:rsidR="00FF6B5A" w:rsidRPr="00FF6B5A" w14:paraId="4B342EA8" w14:textId="77777777" w:rsidTr="1F0121C8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A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342EA5" w14:textId="77777777" w:rsidR="00FF6B5A" w:rsidRDefault="00925FA9" w:rsidP="008E2108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</w:pPr>
            <w:hyperlink r:id="rId17" w:anchor="Expl.OCA6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OCA6. </w:t>
              </w:r>
              <w:r w:rsidR="00FF6B5A" w:rsidRPr="00087B3E">
                <w:rPr>
                  <w:rFonts w:ascii="Calibri" w:eastAsia="Times New Roman" w:hAnsi="Calibri" w:cs="Times New Roman"/>
                  <w:b/>
                  <w:lang w:eastAsia="sk-SK"/>
                </w:rPr>
                <w:t>Kategória výstupu tvorivej činnosti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Category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Výber zo 6 možností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Choice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from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6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opt</w:t>
              </w:r>
              <w:r w:rsidR="008E2108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ions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. </w:t>
              </w:r>
            </w:hyperlink>
          </w:p>
          <w:p w14:paraId="4B342EA6" w14:textId="77777777" w:rsidR="008E2108" w:rsidRPr="00FF6B5A" w:rsidRDefault="008E2108" w:rsidP="008E2108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vedecký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scientific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odborný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professional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lastRenderedPageBreak/>
              <w:t>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pedagogický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pedagogical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,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umelecký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artistic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 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dokument práv duševného vlastníctva a norma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intellectual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property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rights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document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and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standard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, </w:t>
            </w:r>
            <w:r w:rsidRPr="00087B3E">
              <w:rPr>
                <w:rFonts w:ascii="Calibri" w:eastAsia="Times New Roman" w:hAnsi="Calibri" w:cs="Times New Roman"/>
                <w:b/>
                <w:color w:val="000000"/>
                <w:sz w:val="16"/>
                <w:szCs w:val="16"/>
                <w:lang w:eastAsia="sk-SK"/>
              </w:rPr>
              <w:t>iný výstup</w:t>
            </w:r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/ </w:t>
            </w:r>
            <w:proofErr w:type="spellStart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>other</w:t>
            </w:r>
            <w:proofErr w:type="spellEnd"/>
            <w:r w:rsidRPr="00502F1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4B342EA7" w14:textId="4207EEE9" w:rsidR="00FF6B5A" w:rsidRPr="00422600" w:rsidRDefault="00FF6B5A" w:rsidP="20C27B24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B0F0"/>
                <w:lang w:eastAsia="sk-SK"/>
              </w:rPr>
            </w:pPr>
            <w:r w:rsidRPr="20C27B24">
              <w:rPr>
                <w:rFonts w:ascii="Calibri" w:eastAsia="Times New Roman" w:hAnsi="Calibri" w:cs="Times New Roman"/>
                <w:i/>
                <w:iCs/>
                <w:lang w:eastAsia="sk-SK"/>
              </w:rPr>
              <w:lastRenderedPageBreak/>
              <w:t> </w:t>
            </w:r>
            <w:r w:rsidR="00454786" w:rsidRPr="20C27B24">
              <w:rPr>
                <w:rFonts w:ascii="Calibri" w:eastAsia="Times New Roman" w:hAnsi="Calibri" w:cs="Times New Roman"/>
                <w:lang w:eastAsia="sk-SK"/>
              </w:rPr>
              <w:t>v</w:t>
            </w:r>
            <w:r w:rsidR="00422600" w:rsidRPr="20C27B24">
              <w:rPr>
                <w:rFonts w:ascii="Calibri" w:eastAsia="Times New Roman" w:hAnsi="Calibri" w:cs="Times New Roman"/>
                <w:lang w:eastAsia="sk-SK"/>
              </w:rPr>
              <w:t>edecký výstup</w:t>
            </w:r>
            <w:r w:rsidR="1D7276F1" w:rsidRPr="20C27B24">
              <w:rPr>
                <w:rFonts w:ascii="Calibri" w:eastAsia="Times New Roman" w:hAnsi="Calibri" w:cs="Times New Roman"/>
                <w:lang w:eastAsia="sk-SK"/>
              </w:rPr>
              <w:t xml:space="preserve"> / </w:t>
            </w:r>
            <w:proofErr w:type="spellStart"/>
            <w:r w:rsidR="1D7276F1" w:rsidRPr="20C27B24">
              <w:rPr>
                <w:rFonts w:ascii="Calibri" w:eastAsia="Times New Roman" w:hAnsi="Calibri" w:cs="Times New Roman"/>
                <w:lang w:eastAsia="sk-SK"/>
              </w:rPr>
              <w:t>scientific</w:t>
            </w:r>
            <w:proofErr w:type="spellEnd"/>
            <w:r w:rsidR="1D7276F1" w:rsidRPr="20C27B24">
              <w:rPr>
                <w:rFonts w:ascii="Calibri" w:eastAsia="Times New Roman" w:hAnsi="Calibri" w:cs="Times New Roman"/>
                <w:lang w:eastAsia="sk-SK"/>
              </w:rPr>
              <w:t xml:space="preserve"> output</w:t>
            </w:r>
          </w:p>
        </w:tc>
      </w:tr>
      <w:tr w:rsidR="00FF6B5A" w:rsidRPr="00FF6B5A" w14:paraId="4B342EAC" w14:textId="77777777" w:rsidTr="1F0121C8">
        <w:trPr>
          <w:trHeight w:val="51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A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B342EA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Rok vydania výstupu tvorivej činnosti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Year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research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artistic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/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</w:t>
            </w:r>
          </w:p>
        </w:tc>
        <w:tc>
          <w:tcPr>
            <w:tcW w:w="0" w:type="auto"/>
            <w:shd w:val="clear" w:color="auto" w:fill="auto"/>
            <w:hideMark/>
          </w:tcPr>
          <w:p w14:paraId="4B342EAB" w14:textId="1A1AAAF1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816DC1">
              <w:rPr>
                <w:rFonts w:ascii="Calibri" w:eastAsia="Times New Roman" w:hAnsi="Calibri" w:cs="Times New Roman"/>
                <w:color w:val="000000"/>
                <w:lang w:eastAsia="sk-SK"/>
              </w:rPr>
              <w:t>2</w:t>
            </w:r>
            <w:r w:rsid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024</w:t>
            </w:r>
          </w:p>
        </w:tc>
      </w:tr>
      <w:tr w:rsidR="00FF6B5A" w:rsidRPr="00FF6B5A" w14:paraId="4B342EB1" w14:textId="77777777" w:rsidTr="1F0121C8">
        <w:trPr>
          <w:trHeight w:val="66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AD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342EAE" w14:textId="77777777" w:rsidR="00FF6B5A" w:rsidRPr="00FF6B5A" w:rsidRDefault="00925FA9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8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OCA8.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ID záznamu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lang w:eastAsia="sk-SK"/>
                </w:rPr>
                <w:t>(ak je)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ID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(CRPA) or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Central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Registry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(CRAA)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5"/>
            </w:r>
          </w:p>
        </w:tc>
        <w:tc>
          <w:tcPr>
            <w:tcW w:w="0" w:type="auto"/>
            <w:shd w:val="clear" w:color="auto" w:fill="auto"/>
            <w:hideMark/>
          </w:tcPr>
          <w:p w14:paraId="4B342EB0" w14:textId="6AE521A0" w:rsidR="002F68C9" w:rsidRPr="00FF6B5A" w:rsidRDefault="002F68C9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ID: 1588794 | </w:t>
            </w:r>
            <w:proofErr w:type="spellStart"/>
            <w:r w:rsidRPr="002F68C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law</w:t>
            </w:r>
            <w:proofErr w:type="spellEnd"/>
            <w:r w:rsidRPr="002F68C9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in Slovakia</w:t>
            </w:r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[textový dokument (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print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)] [elektronický dokument] [monografia] / Križan, Viktor (Autor) (100%). – 3.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aktual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vyd. –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Alphen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aan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den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Rijn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(Holandsko) :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Wolters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Kluwer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International, 2024. – 248 s. [tlačená forma] [online]. – [recenzované]. – ISBN 978-94-035-0999-0. – ISBN (elektronické) 978-94-035-1009-5. – ISBN (elektronické) 978-94-035-1019-4</w:t>
            </w:r>
          </w:p>
        </w:tc>
      </w:tr>
      <w:tr w:rsidR="00FF6B5A" w:rsidRPr="00FF6B5A" w14:paraId="4B342EB5" w14:textId="77777777" w:rsidTr="1F0121C8">
        <w:trPr>
          <w:trHeight w:val="52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B2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342EB3" w14:textId="77777777" w:rsidR="00FF6B5A" w:rsidRPr="00FF6B5A" w:rsidRDefault="00925FA9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19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OCA9.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CREPČ alebo CREUČ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6"/>
            </w:r>
          </w:p>
        </w:tc>
        <w:tc>
          <w:tcPr>
            <w:tcW w:w="0" w:type="auto"/>
            <w:shd w:val="clear" w:color="auto" w:fill="auto"/>
            <w:hideMark/>
          </w:tcPr>
          <w:p w14:paraId="4B342EB4" w14:textId="07BBCB23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2F68C9"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https://repco.truni.sk/?fn=detailBiblioForm&amp;sid=B91108598CC4B84B202814F148AB</w:t>
            </w:r>
          </w:p>
        </w:tc>
      </w:tr>
      <w:tr w:rsidR="00C86832" w:rsidRPr="00FF6B5A" w14:paraId="4B342EB9" w14:textId="77777777" w:rsidTr="1F0121C8">
        <w:trPr>
          <w:trHeight w:val="525"/>
        </w:trPr>
        <w:tc>
          <w:tcPr>
            <w:tcW w:w="0" w:type="auto"/>
            <w:shd w:val="clear" w:color="auto" w:fill="auto"/>
            <w:vAlign w:val="bottom"/>
          </w:tcPr>
          <w:p w14:paraId="4B342EB6" w14:textId="77777777" w:rsidR="00C86832" w:rsidRPr="00FF6B5A" w:rsidRDefault="00C86832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</w:tcPr>
          <w:p w14:paraId="4B342EB7" w14:textId="77777777" w:rsidR="00C86832" w:rsidRDefault="00C86832" w:rsidP="00532FE9">
            <w:pPr>
              <w:spacing w:after="0" w:line="240" w:lineRule="auto"/>
            </w:pPr>
          </w:p>
        </w:tc>
        <w:tc>
          <w:tcPr>
            <w:tcW w:w="0" w:type="auto"/>
            <w:shd w:val="clear" w:color="auto" w:fill="auto"/>
          </w:tcPr>
          <w:p w14:paraId="4B342EB8" w14:textId="77777777" w:rsidR="00C86832" w:rsidRPr="00FF6B5A" w:rsidRDefault="00C86832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4B342EBE" w14:textId="77777777" w:rsidTr="1F0121C8">
        <w:trPr>
          <w:trHeight w:val="106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B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 w:val="restart"/>
            <w:shd w:val="clear" w:color="auto" w:fill="DAE3F3"/>
            <w:textDirection w:val="btLr"/>
            <w:vAlign w:val="center"/>
            <w:hideMark/>
          </w:tcPr>
          <w:p w14:paraId="4B342EBB" w14:textId="77777777" w:rsidR="00FF6B5A" w:rsidRPr="00FF6B5A" w:rsidRDefault="00FF6B5A" w:rsidP="00FF6B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Charakteristika výstupu, ktorý nie je registrovaný v CREPČ alebo CREUČ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registered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CRPA or CRAA</w:t>
            </w: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4B342EBC" w14:textId="77777777" w:rsidR="00FF6B5A" w:rsidRPr="00FF6B5A" w:rsidRDefault="00925FA9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0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OCA10. </w:t>
              </w:r>
              <w:proofErr w:type="spellStart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Hyperlink</w:t>
              </w:r>
              <w:proofErr w:type="spellEnd"/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 xml:space="preserve"> na záznam v inom verejne prístupnom registri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katalógu výstupov tvorivých činností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Hyperlink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to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record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publicly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accessible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register,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catalogue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outputs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</w:hyperlink>
            <w:r w:rsidR="00532FE9">
              <w:rPr>
                <w:rStyle w:val="Odkaznapoznmkupodiarou"/>
                <w:rFonts w:ascii="Calibri" w:eastAsia="Times New Roman" w:hAnsi="Calibri" w:cs="Times New Roman"/>
                <w:lang w:eastAsia="sk-SK"/>
              </w:rPr>
              <w:footnoteReference w:id="7"/>
            </w:r>
          </w:p>
        </w:tc>
        <w:tc>
          <w:tcPr>
            <w:tcW w:w="0" w:type="auto"/>
            <w:shd w:val="clear" w:color="auto" w:fill="auto"/>
            <w:hideMark/>
          </w:tcPr>
          <w:p w14:paraId="4B342EBD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4B342EC3" w14:textId="77777777" w:rsidTr="1F0121C8">
        <w:trPr>
          <w:trHeight w:val="151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B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342EC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4B342EC1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OCA11. Charakteristika výstupu vo formáte bibliografického záznamu CREPČ alebo CREUČ, ak výstup nie je vo verejne prístupnom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 xml:space="preserve">registri alebo katalógu výstupov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in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format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CRPA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CRAA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bibliographic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record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if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a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publicly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accessible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register or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catalogue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B342EC2" w14:textId="77777777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 </w:t>
            </w:r>
            <w:r w:rsid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</w:p>
        </w:tc>
      </w:tr>
      <w:tr w:rsidR="00FF6B5A" w:rsidRPr="00FF6B5A" w14:paraId="4B342EC8" w14:textId="77777777" w:rsidTr="1F0121C8">
        <w:trPr>
          <w:trHeight w:val="129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C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342EC5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4B342EC6" w14:textId="77777777" w:rsidR="00FF6B5A" w:rsidRPr="00FF6B5A" w:rsidRDefault="00925FA9" w:rsidP="00087B3E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1" w:anchor="Expl.OCA12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OCA12. Typ výstupu (ak nie je výstup registrovaný v CREPČ alebo CREUČ) / Type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(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if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not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registered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in CRPA or CRAA)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/>
              </w:r>
            </w:hyperlink>
          </w:p>
        </w:tc>
        <w:tc>
          <w:tcPr>
            <w:tcW w:w="0" w:type="auto"/>
            <w:shd w:val="clear" w:color="auto" w:fill="auto"/>
            <w:hideMark/>
          </w:tcPr>
          <w:p w14:paraId="4B342EC7" w14:textId="77777777" w:rsidR="00FF6B5A" w:rsidRPr="00087B3E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  <w:t> </w:t>
            </w:r>
            <w:r w:rsidR="00087B3E" w:rsidRPr="00087B3E">
              <w:rPr>
                <w:rFonts w:ascii="Calibri" w:eastAsia="Times New Roman" w:hAnsi="Calibri" w:cs="Times New Roman"/>
                <w:iCs/>
                <w:color w:val="000000"/>
                <w:lang w:eastAsia="sk-SK"/>
              </w:rPr>
              <w:t>x</w:t>
            </w:r>
          </w:p>
        </w:tc>
      </w:tr>
      <w:tr w:rsidR="00FF6B5A" w:rsidRPr="00FF6B5A" w14:paraId="4B342ECD" w14:textId="77777777" w:rsidTr="1F0121C8">
        <w:trPr>
          <w:trHeight w:val="111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C9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342ECA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4B342ECB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OCA13. </w:t>
            </w:r>
            <w:proofErr w:type="spellStart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Hyperlink</w:t>
            </w:r>
            <w:proofErr w:type="spellEnd"/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 xml:space="preserve"> na stránku, na ktorej je výstup sprístupnený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(úplný text, iná dokumentácia a podobne)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Hyperlink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webpage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where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available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(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full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text,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documentation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, etc.)</w:t>
            </w:r>
          </w:p>
        </w:tc>
        <w:tc>
          <w:tcPr>
            <w:tcW w:w="0" w:type="auto"/>
            <w:shd w:val="clear" w:color="auto" w:fill="auto"/>
            <w:hideMark/>
          </w:tcPr>
          <w:p w14:paraId="4B342ECC" w14:textId="1C30A530" w:rsidR="00FF6B5A" w:rsidRPr="00FF6B5A" w:rsidRDefault="00FF6B5A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FF6B5A" w:rsidRPr="00FF6B5A" w14:paraId="4B342ED2" w14:textId="77777777" w:rsidTr="1F0121C8">
        <w:trPr>
          <w:trHeight w:val="76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CE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342ECF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AE3F3"/>
            <w:vAlign w:val="center"/>
            <w:hideMark/>
          </w:tcPr>
          <w:p w14:paraId="4B342ED0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OCA14. </w:t>
            </w:r>
            <w:r w:rsidRPr="00422600">
              <w:rPr>
                <w:rFonts w:ascii="Calibri" w:eastAsia="Times New Roman" w:hAnsi="Calibri" w:cs="Times New Roman"/>
                <w:color w:val="000000"/>
                <w:lang w:eastAsia="sk-SK"/>
              </w:rPr>
              <w:t>Charakteristika autorského vkladu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author's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contribution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B342ED1" w14:textId="77777777" w:rsidR="00FF6B5A" w:rsidRPr="00FF6B5A" w:rsidRDefault="00422600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x</w:t>
            </w:r>
            <w:r w:rsidR="00FF6B5A"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</w:p>
        </w:tc>
      </w:tr>
      <w:tr w:rsidR="00FF6B5A" w:rsidRPr="00FF6B5A" w14:paraId="4B342ED8" w14:textId="77777777" w:rsidTr="1F0121C8">
        <w:trPr>
          <w:trHeight w:val="231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D3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B342ED4" w14:textId="77777777" w:rsidR="00FF6B5A" w:rsidRPr="00FF6B5A" w:rsidRDefault="00FF6B5A" w:rsidP="00FF6B5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shd w:val="clear" w:color="auto" w:fill="D9E1F2"/>
            <w:vAlign w:val="center"/>
            <w:hideMark/>
          </w:tcPr>
          <w:p w14:paraId="4B342ED5" w14:textId="77777777" w:rsidR="00FF6B5A" w:rsidRPr="00FF6B5A" w:rsidRDefault="00925FA9" w:rsidP="00532FE9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2" w:anchor="'poznamky_explanatory notes'!A1" w:history="1"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OCA15. </w:t>
              </w:r>
              <w:r w:rsidR="00FF6B5A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s kontextovými informáciami týkajúcimi sa opisu tvorivého procesu a obsahu tvorivej činnosti a pod</w:t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.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with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contextual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information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concerning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description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creative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process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and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content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lastRenderedPageBreak/>
                <w:t>research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artistic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/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other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>activity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, etc. </w:t>
              </w:r>
              <w:r w:rsidR="00532FE9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8"/>
              </w:r>
              <w:r w:rsidR="00FF6B5A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v slovenskom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Slovak</w:t>
              </w:r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br w:type="page"/>
                <w:t xml:space="preserve">Rozsah do 200 slov v anglickom jazyku /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  <w:r w:rsidR="00FF6B5A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in English </w:t>
              </w:r>
            </w:hyperlink>
          </w:p>
        </w:tc>
        <w:tc>
          <w:tcPr>
            <w:tcW w:w="0" w:type="auto"/>
            <w:shd w:val="clear" w:color="auto" w:fill="auto"/>
          </w:tcPr>
          <w:p w14:paraId="4B342ED7" w14:textId="77777777" w:rsidR="00422600" w:rsidRPr="00FF6B5A" w:rsidRDefault="00422600" w:rsidP="00B8470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292B6F" w:rsidRPr="00FF6B5A" w14:paraId="4B342EDC" w14:textId="77777777" w:rsidTr="1F0121C8">
        <w:trPr>
          <w:trHeight w:val="915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D9" w14:textId="77777777" w:rsidR="00292B6F" w:rsidRPr="00FF6B5A" w:rsidRDefault="00292B6F" w:rsidP="00292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9E1F2"/>
            <w:vAlign w:val="center"/>
            <w:hideMark/>
          </w:tcPr>
          <w:p w14:paraId="4B342EDA" w14:textId="77777777" w:rsidR="00292B6F" w:rsidRPr="00FF6B5A" w:rsidRDefault="00925FA9" w:rsidP="00292B6F">
            <w:pPr>
              <w:spacing w:after="0" w:line="240" w:lineRule="auto"/>
              <w:rPr>
                <w:rFonts w:ascii="Calibri" w:eastAsia="Times New Roman" w:hAnsi="Calibri" w:cs="Times New Roman"/>
                <w:lang w:eastAsia="sk-SK"/>
              </w:rPr>
            </w:pPr>
            <w:hyperlink r:id="rId23" w:anchor="'poznamky_explanatory notes'!A1" w:history="1">
              <w:r w:rsidR="00292B6F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OCA16. </w:t>
              </w:r>
              <w:r w:rsidR="00292B6F" w:rsidRPr="00422600">
                <w:rPr>
                  <w:rFonts w:ascii="Calibri" w:eastAsia="Times New Roman" w:hAnsi="Calibri" w:cs="Times New Roman"/>
                  <w:b/>
                  <w:lang w:eastAsia="sk-SK"/>
                </w:rPr>
                <w:t>Anotácia výstupu v anglickom jazyku</w:t>
              </w:r>
              <w:r w:rsidR="00292B6F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/ </w:t>
              </w:r>
              <w:proofErr w:type="spellStart"/>
              <w:r w:rsidR="00292B6F" w:rsidRPr="00FF6B5A">
                <w:rPr>
                  <w:rFonts w:ascii="Calibri" w:eastAsia="Times New Roman" w:hAnsi="Calibri" w:cs="Times New Roman"/>
                  <w:lang w:eastAsia="sk-SK"/>
                </w:rPr>
                <w:t>Annotation</w:t>
              </w:r>
              <w:proofErr w:type="spellEnd"/>
              <w:r w:rsidR="00292B6F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of </w:t>
              </w:r>
              <w:proofErr w:type="spellStart"/>
              <w:r w:rsidR="00292B6F" w:rsidRPr="00FF6B5A">
                <w:rPr>
                  <w:rFonts w:ascii="Calibri" w:eastAsia="Times New Roman" w:hAnsi="Calibri" w:cs="Times New Roman"/>
                  <w:lang w:eastAsia="sk-SK"/>
                </w:rPr>
                <w:t>the</w:t>
              </w:r>
              <w:proofErr w:type="spellEnd"/>
              <w:r w:rsidR="00292B6F" w:rsidRPr="00FF6B5A">
                <w:rPr>
                  <w:rFonts w:ascii="Calibri" w:eastAsia="Times New Roman" w:hAnsi="Calibri" w:cs="Times New Roman"/>
                  <w:lang w:eastAsia="sk-SK"/>
                </w:rPr>
                <w:t xml:space="preserve"> output in English </w:t>
              </w:r>
              <w:r w:rsidR="00292B6F">
                <w:rPr>
                  <w:rStyle w:val="Odkaznapoznmkupodiarou"/>
                  <w:rFonts w:ascii="Calibri" w:eastAsia="Times New Roman" w:hAnsi="Calibri" w:cs="Times New Roman"/>
                  <w:lang w:eastAsia="sk-SK"/>
                </w:rPr>
                <w:footnoteReference w:id="9"/>
              </w:r>
              <w:r w:rsidR="00292B6F" w:rsidRPr="00FF6B5A">
                <w:rPr>
                  <w:rFonts w:ascii="Calibri" w:eastAsia="Times New Roman" w:hAnsi="Calibri" w:cs="Times New Roman"/>
                  <w:lang w:eastAsia="sk-SK"/>
                </w:rPr>
                <w:br w:type="page"/>
              </w:r>
              <w:r w:rsidR="00292B6F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Rozsah do 200 slov / </w:t>
              </w:r>
              <w:proofErr w:type="spellStart"/>
              <w:r w:rsidR="00292B6F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Range</w:t>
              </w:r>
              <w:proofErr w:type="spellEnd"/>
              <w:r w:rsidR="00292B6F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</w:t>
              </w:r>
              <w:proofErr w:type="spellStart"/>
              <w:r w:rsidR="00292B6F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up</w:t>
              </w:r>
              <w:proofErr w:type="spellEnd"/>
              <w:r w:rsidR="00292B6F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 xml:space="preserve"> to 200 </w:t>
              </w:r>
              <w:proofErr w:type="spellStart"/>
              <w:r w:rsidR="00292B6F" w:rsidRPr="00FF6B5A">
                <w:rPr>
                  <w:rFonts w:ascii="Calibri" w:eastAsia="Times New Roman" w:hAnsi="Calibri" w:cs="Times New Roman"/>
                  <w:i/>
                  <w:iCs/>
                  <w:color w:val="808080"/>
                  <w:lang w:eastAsia="sk-SK"/>
                </w:rPr>
                <w:t>words</w:t>
              </w:r>
              <w:proofErr w:type="spellEnd"/>
            </w:hyperlink>
          </w:p>
        </w:tc>
        <w:tc>
          <w:tcPr>
            <w:tcW w:w="0" w:type="auto"/>
            <w:shd w:val="clear" w:color="auto" w:fill="auto"/>
            <w:hideMark/>
          </w:tcPr>
          <w:p w14:paraId="53779C2A" w14:textId="77777777" w:rsidR="002F68C9" w:rsidRPr="002F68C9" w:rsidRDefault="002F68C9" w:rsidP="002F68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Derived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from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renowned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multi-volume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International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Encyclopaedia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Laws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this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monograph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Slovakia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not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only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describes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analyses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aspects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relations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but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also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examines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relations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practices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developing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trends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provides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survey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subject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that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is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both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usefully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brief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sufficiently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detailed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answer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most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questions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likely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arise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any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pertinent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legal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setting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1E14FED4" w14:textId="4362BA22" w:rsidR="002F68C9" w:rsidRPr="002F68C9" w:rsidRDefault="002F68C9" w:rsidP="002F68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Both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individual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collective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relations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are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covered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ample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detail,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attention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such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underlying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pervasive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factors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employment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contracts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suspension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contracts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dismissal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laws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covenants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non-competition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as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well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as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international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private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author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provides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comprehensive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overview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rules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governing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hours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wages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benefits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intellectual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property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implications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trade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union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activity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employers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’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associations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workers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’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participation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collective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bargaining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industrial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disputes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and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other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matters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4B342EDB" w14:textId="65DE20B3" w:rsidR="00292B6F" w:rsidRPr="00FF6B5A" w:rsidRDefault="002F68C9" w:rsidP="002F68C9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Building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a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clear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overview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law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relations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book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offers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practical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guidance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which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sound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preliminary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decisions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may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be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based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It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will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find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ready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readership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among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lawyers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representing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parties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with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interests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Slovakia, and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academics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researchers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will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appreciate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its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value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study of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comparative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trends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in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laws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affecting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relations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292B6F" w:rsidRPr="00FF6B5A" w14:paraId="4B342EE1" w14:textId="77777777" w:rsidTr="1F0121C8">
        <w:trPr>
          <w:trHeight w:val="81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DD" w14:textId="77777777" w:rsidR="00292B6F" w:rsidRPr="00FF6B5A" w:rsidRDefault="00292B6F" w:rsidP="00292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B342EDE" w14:textId="77777777" w:rsidR="00292B6F" w:rsidRPr="00FF6B5A" w:rsidRDefault="00292B6F" w:rsidP="00292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OCA17.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Zoznam najviac 5 najvýznamnejších ohlasov na výstup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/ List of maximum 5 most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significant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citations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corresponding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to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</w:p>
        </w:tc>
        <w:tc>
          <w:tcPr>
            <w:tcW w:w="0" w:type="auto"/>
            <w:shd w:val="clear" w:color="auto" w:fill="auto"/>
            <w:hideMark/>
          </w:tcPr>
          <w:p w14:paraId="4B342EE0" w14:textId="77777777" w:rsidR="00292B6F" w:rsidRPr="00FF6B5A" w:rsidRDefault="00292B6F" w:rsidP="00292B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292B6F" w:rsidRPr="00FF6B5A" w14:paraId="4B342EE5" w14:textId="77777777" w:rsidTr="1F0121C8">
        <w:trPr>
          <w:trHeight w:val="117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E2" w14:textId="77777777" w:rsidR="00292B6F" w:rsidRPr="00FF6B5A" w:rsidRDefault="00292B6F" w:rsidP="00292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B342EE3" w14:textId="77777777" w:rsidR="00292B6F" w:rsidRPr="00FF6B5A" w:rsidRDefault="00292B6F" w:rsidP="00292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OCA18.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na spoločensko-hospodársku prax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output's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socio-economic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practice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lastRenderedPageBreak/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48480AC9" w14:textId="701AB173" w:rsidR="00292B6F" w:rsidRPr="00FF6B5A" w:rsidRDefault="002F68C9" w:rsidP="1F0121C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 w:rsidRPr="002F68C9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lastRenderedPageBreak/>
              <w:t xml:space="preserve">Publikácia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Law</w:t>
            </w:r>
            <w:proofErr w:type="spellEnd"/>
            <w:r w:rsidRPr="002F68C9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in Slovakia predstavuje významný príspevok pre spoločensko-hospodársku prax, pretože komplexne a systematicky spracúva právnu úpravu pracovnoprávnych vzťahov v Slovenskej republike. Monografia poskytuje nielen právny výklad, ale aj analýzu trendov, čím pomáha zamestnávateľom, odborovým zväzom, poradenským spoločnostiam a štátnym inštitúciám správne reagovať na dynamické zmeny pracovného prostredia. Vďaka praktickým usmerneniam umožňuje efektívnejšie nastavovať pracovné </w:t>
            </w:r>
            <w:r w:rsidRPr="002F68C9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lastRenderedPageBreak/>
              <w:t>podmienky, znižovať právnu neistotu a predchádzať sporom. Dôležitý je aj jej komparatívny rozmer, ktorý uľahčuje zahraničným investorom a medzinárodným firmám orientáciu v slovenskom pracovnom práve. Publikácia tak podporuje transparentnosť a predvídateľnosť podnikateľského prostredia, čím má pozitívny dopad na hospodársku stabilitu a sociálny dialóg v krajine.</w:t>
            </w:r>
            <w:r w:rsidR="00772D92">
              <w:t xml:space="preserve"> /</w:t>
            </w:r>
          </w:p>
          <w:p w14:paraId="4B342EE4" w14:textId="06519EB5" w:rsidR="00292B6F" w:rsidRPr="00667939" w:rsidRDefault="002F68C9" w:rsidP="00292B6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sk-SK"/>
              </w:rPr>
            </w:pPr>
            <w:proofErr w:type="spellStart"/>
            <w:r w:rsidRPr="002F68C9">
              <w:rPr>
                <w:i/>
              </w:rPr>
              <w:t>The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publication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Labour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Law</w:t>
            </w:r>
            <w:proofErr w:type="spellEnd"/>
            <w:r w:rsidRPr="002F68C9">
              <w:rPr>
                <w:i/>
              </w:rPr>
              <w:t xml:space="preserve"> in Slovakia </w:t>
            </w:r>
            <w:proofErr w:type="spellStart"/>
            <w:r w:rsidRPr="002F68C9">
              <w:rPr>
                <w:i/>
              </w:rPr>
              <w:t>represents</w:t>
            </w:r>
            <w:proofErr w:type="spellEnd"/>
            <w:r w:rsidRPr="002F68C9">
              <w:rPr>
                <w:i/>
              </w:rPr>
              <w:t xml:space="preserve"> a </w:t>
            </w:r>
            <w:proofErr w:type="spellStart"/>
            <w:r w:rsidRPr="002F68C9">
              <w:rPr>
                <w:i/>
              </w:rPr>
              <w:t>significant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contribution</w:t>
            </w:r>
            <w:proofErr w:type="spellEnd"/>
            <w:r w:rsidRPr="002F68C9">
              <w:rPr>
                <w:i/>
              </w:rPr>
              <w:t xml:space="preserve"> to </w:t>
            </w:r>
            <w:proofErr w:type="spellStart"/>
            <w:r w:rsidRPr="002F68C9">
              <w:rPr>
                <w:i/>
              </w:rPr>
              <w:t>socio-economic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practice</w:t>
            </w:r>
            <w:proofErr w:type="spellEnd"/>
            <w:r w:rsidRPr="002F68C9">
              <w:rPr>
                <w:i/>
              </w:rPr>
              <w:t xml:space="preserve">, as </w:t>
            </w:r>
            <w:proofErr w:type="spellStart"/>
            <w:r w:rsidRPr="002F68C9">
              <w:rPr>
                <w:i/>
              </w:rPr>
              <w:t>it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comprehensively</w:t>
            </w:r>
            <w:proofErr w:type="spellEnd"/>
            <w:r w:rsidRPr="002F68C9">
              <w:rPr>
                <w:i/>
              </w:rPr>
              <w:t xml:space="preserve"> and </w:t>
            </w:r>
            <w:proofErr w:type="spellStart"/>
            <w:r w:rsidRPr="002F68C9">
              <w:rPr>
                <w:i/>
              </w:rPr>
              <w:t>systematically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addresses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the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legal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regulation</w:t>
            </w:r>
            <w:proofErr w:type="spellEnd"/>
            <w:r w:rsidRPr="002F68C9">
              <w:rPr>
                <w:i/>
              </w:rPr>
              <w:t xml:space="preserve"> of </w:t>
            </w:r>
            <w:proofErr w:type="spellStart"/>
            <w:r w:rsidRPr="002F68C9">
              <w:rPr>
                <w:i/>
              </w:rPr>
              <w:t>labour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relations</w:t>
            </w:r>
            <w:proofErr w:type="spellEnd"/>
            <w:r w:rsidRPr="002F68C9">
              <w:rPr>
                <w:i/>
              </w:rPr>
              <w:t xml:space="preserve"> in </w:t>
            </w:r>
            <w:proofErr w:type="spellStart"/>
            <w:r w:rsidRPr="002F68C9">
              <w:rPr>
                <w:i/>
              </w:rPr>
              <w:t>the</w:t>
            </w:r>
            <w:proofErr w:type="spellEnd"/>
            <w:r w:rsidRPr="002F68C9">
              <w:rPr>
                <w:i/>
              </w:rPr>
              <w:t xml:space="preserve"> Slovak </w:t>
            </w:r>
            <w:proofErr w:type="spellStart"/>
            <w:r w:rsidRPr="002F68C9">
              <w:rPr>
                <w:i/>
              </w:rPr>
              <w:t>Republic</w:t>
            </w:r>
            <w:proofErr w:type="spellEnd"/>
            <w:r w:rsidRPr="002F68C9">
              <w:rPr>
                <w:i/>
              </w:rPr>
              <w:t xml:space="preserve">. </w:t>
            </w:r>
            <w:proofErr w:type="spellStart"/>
            <w:r w:rsidRPr="002F68C9">
              <w:rPr>
                <w:i/>
              </w:rPr>
              <w:t>The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monograph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provides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not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only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legal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interpretation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but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also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an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analysis</w:t>
            </w:r>
            <w:proofErr w:type="spellEnd"/>
            <w:r w:rsidRPr="002F68C9">
              <w:rPr>
                <w:i/>
              </w:rPr>
              <w:t xml:space="preserve"> of </w:t>
            </w:r>
            <w:proofErr w:type="spellStart"/>
            <w:r w:rsidRPr="002F68C9">
              <w:rPr>
                <w:i/>
              </w:rPr>
              <w:t>trends</w:t>
            </w:r>
            <w:proofErr w:type="spellEnd"/>
            <w:r w:rsidRPr="002F68C9">
              <w:rPr>
                <w:i/>
              </w:rPr>
              <w:t xml:space="preserve">, </w:t>
            </w:r>
            <w:proofErr w:type="spellStart"/>
            <w:r w:rsidRPr="002F68C9">
              <w:rPr>
                <w:i/>
              </w:rPr>
              <w:t>thereby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assisting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employers</w:t>
            </w:r>
            <w:proofErr w:type="spellEnd"/>
            <w:r w:rsidRPr="002F68C9">
              <w:rPr>
                <w:i/>
              </w:rPr>
              <w:t xml:space="preserve">, </w:t>
            </w:r>
            <w:proofErr w:type="spellStart"/>
            <w:r w:rsidRPr="002F68C9">
              <w:rPr>
                <w:i/>
              </w:rPr>
              <w:t>trade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unions</w:t>
            </w:r>
            <w:proofErr w:type="spellEnd"/>
            <w:r w:rsidRPr="002F68C9">
              <w:rPr>
                <w:i/>
              </w:rPr>
              <w:t xml:space="preserve">, </w:t>
            </w:r>
            <w:proofErr w:type="spellStart"/>
            <w:r w:rsidRPr="002F68C9">
              <w:rPr>
                <w:i/>
              </w:rPr>
              <w:t>consulting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companies</w:t>
            </w:r>
            <w:proofErr w:type="spellEnd"/>
            <w:r w:rsidRPr="002F68C9">
              <w:rPr>
                <w:i/>
              </w:rPr>
              <w:t xml:space="preserve">, and state </w:t>
            </w:r>
            <w:proofErr w:type="spellStart"/>
            <w:r w:rsidRPr="002F68C9">
              <w:rPr>
                <w:i/>
              </w:rPr>
              <w:t>institutions</w:t>
            </w:r>
            <w:proofErr w:type="spellEnd"/>
            <w:r w:rsidRPr="002F68C9">
              <w:rPr>
                <w:i/>
              </w:rPr>
              <w:t xml:space="preserve"> in </w:t>
            </w:r>
            <w:proofErr w:type="spellStart"/>
            <w:r w:rsidRPr="002F68C9">
              <w:rPr>
                <w:i/>
              </w:rPr>
              <w:t>effectively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responding</w:t>
            </w:r>
            <w:proofErr w:type="spellEnd"/>
            <w:r w:rsidRPr="002F68C9">
              <w:rPr>
                <w:i/>
              </w:rPr>
              <w:t xml:space="preserve"> to </w:t>
            </w:r>
            <w:proofErr w:type="spellStart"/>
            <w:r w:rsidRPr="002F68C9">
              <w:rPr>
                <w:i/>
              </w:rPr>
              <w:t>the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dynamic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changes</w:t>
            </w:r>
            <w:proofErr w:type="spellEnd"/>
            <w:r w:rsidRPr="002F68C9">
              <w:rPr>
                <w:i/>
              </w:rPr>
              <w:t xml:space="preserve"> in </w:t>
            </w:r>
            <w:proofErr w:type="spellStart"/>
            <w:r w:rsidRPr="002F68C9">
              <w:rPr>
                <w:i/>
              </w:rPr>
              <w:t>the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labour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environment</w:t>
            </w:r>
            <w:proofErr w:type="spellEnd"/>
            <w:r w:rsidRPr="002F68C9">
              <w:rPr>
                <w:i/>
              </w:rPr>
              <w:t xml:space="preserve">. </w:t>
            </w:r>
            <w:proofErr w:type="spellStart"/>
            <w:r w:rsidRPr="002F68C9">
              <w:rPr>
                <w:i/>
              </w:rPr>
              <w:t>Thanks</w:t>
            </w:r>
            <w:proofErr w:type="spellEnd"/>
            <w:r w:rsidRPr="002F68C9">
              <w:rPr>
                <w:i/>
              </w:rPr>
              <w:t xml:space="preserve"> to </w:t>
            </w:r>
            <w:proofErr w:type="spellStart"/>
            <w:r w:rsidRPr="002F68C9">
              <w:rPr>
                <w:i/>
              </w:rPr>
              <w:t>its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practical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guidance</w:t>
            </w:r>
            <w:proofErr w:type="spellEnd"/>
            <w:r w:rsidRPr="002F68C9">
              <w:rPr>
                <w:i/>
              </w:rPr>
              <w:t xml:space="preserve">, </w:t>
            </w:r>
            <w:proofErr w:type="spellStart"/>
            <w:r w:rsidRPr="002F68C9">
              <w:rPr>
                <w:i/>
              </w:rPr>
              <w:t>it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enables</w:t>
            </w:r>
            <w:proofErr w:type="spellEnd"/>
            <w:r w:rsidRPr="002F68C9">
              <w:rPr>
                <w:i/>
              </w:rPr>
              <w:t xml:space="preserve"> more </w:t>
            </w:r>
            <w:proofErr w:type="spellStart"/>
            <w:r w:rsidRPr="002F68C9">
              <w:rPr>
                <w:i/>
              </w:rPr>
              <w:t>efficient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setting</w:t>
            </w:r>
            <w:proofErr w:type="spellEnd"/>
            <w:r w:rsidRPr="002F68C9">
              <w:rPr>
                <w:i/>
              </w:rPr>
              <w:t xml:space="preserve"> of </w:t>
            </w:r>
            <w:proofErr w:type="spellStart"/>
            <w:r w:rsidRPr="002F68C9">
              <w:rPr>
                <w:i/>
              </w:rPr>
              <w:t>working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conditions</w:t>
            </w:r>
            <w:proofErr w:type="spellEnd"/>
            <w:r w:rsidRPr="002F68C9">
              <w:rPr>
                <w:i/>
              </w:rPr>
              <w:t xml:space="preserve">, </w:t>
            </w:r>
            <w:proofErr w:type="spellStart"/>
            <w:r w:rsidRPr="002F68C9">
              <w:rPr>
                <w:i/>
              </w:rPr>
              <w:t>reduces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legal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uncertainty</w:t>
            </w:r>
            <w:proofErr w:type="spellEnd"/>
            <w:r w:rsidRPr="002F68C9">
              <w:rPr>
                <w:i/>
              </w:rPr>
              <w:t xml:space="preserve">, and </w:t>
            </w:r>
            <w:proofErr w:type="spellStart"/>
            <w:r w:rsidRPr="002F68C9">
              <w:rPr>
                <w:i/>
              </w:rPr>
              <w:t>helps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prevent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disputes</w:t>
            </w:r>
            <w:proofErr w:type="spellEnd"/>
            <w:r w:rsidRPr="002F68C9">
              <w:rPr>
                <w:i/>
              </w:rPr>
              <w:t xml:space="preserve">. </w:t>
            </w:r>
            <w:proofErr w:type="spellStart"/>
            <w:r w:rsidRPr="002F68C9">
              <w:rPr>
                <w:i/>
              </w:rPr>
              <w:t>Its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comparative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dimension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is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also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essential</w:t>
            </w:r>
            <w:proofErr w:type="spellEnd"/>
            <w:r w:rsidRPr="002F68C9">
              <w:rPr>
                <w:i/>
              </w:rPr>
              <w:t xml:space="preserve">, as </w:t>
            </w:r>
            <w:proofErr w:type="spellStart"/>
            <w:r w:rsidRPr="002F68C9">
              <w:rPr>
                <w:i/>
              </w:rPr>
              <w:t>it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facilitates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orientation</w:t>
            </w:r>
            <w:proofErr w:type="spellEnd"/>
            <w:r w:rsidRPr="002F68C9">
              <w:rPr>
                <w:i/>
              </w:rPr>
              <w:t xml:space="preserve"> in Slovak </w:t>
            </w:r>
            <w:proofErr w:type="spellStart"/>
            <w:r w:rsidRPr="002F68C9">
              <w:rPr>
                <w:i/>
              </w:rPr>
              <w:t>labour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law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for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foreign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investors</w:t>
            </w:r>
            <w:proofErr w:type="spellEnd"/>
            <w:r w:rsidRPr="002F68C9">
              <w:rPr>
                <w:i/>
              </w:rPr>
              <w:t xml:space="preserve"> and </w:t>
            </w:r>
            <w:proofErr w:type="spellStart"/>
            <w:r w:rsidRPr="002F68C9">
              <w:rPr>
                <w:i/>
              </w:rPr>
              <w:t>international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companies</w:t>
            </w:r>
            <w:proofErr w:type="spellEnd"/>
            <w:r w:rsidRPr="002F68C9">
              <w:rPr>
                <w:i/>
              </w:rPr>
              <w:t xml:space="preserve">. In </w:t>
            </w:r>
            <w:proofErr w:type="spellStart"/>
            <w:r w:rsidRPr="002F68C9">
              <w:rPr>
                <w:i/>
              </w:rPr>
              <w:t>this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way</w:t>
            </w:r>
            <w:proofErr w:type="spellEnd"/>
            <w:r w:rsidRPr="002F68C9">
              <w:rPr>
                <w:i/>
              </w:rPr>
              <w:t xml:space="preserve">, </w:t>
            </w:r>
            <w:proofErr w:type="spellStart"/>
            <w:r w:rsidRPr="002F68C9">
              <w:rPr>
                <w:i/>
              </w:rPr>
              <w:t>the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publication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promotes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transparency</w:t>
            </w:r>
            <w:proofErr w:type="spellEnd"/>
            <w:r>
              <w:rPr>
                <w:i/>
              </w:rPr>
              <w:t xml:space="preserve"> and </w:t>
            </w:r>
            <w:proofErr w:type="spellStart"/>
            <w:r>
              <w:rPr>
                <w:i/>
              </w:rPr>
              <w:t>predictability</w:t>
            </w:r>
            <w:proofErr w:type="spellEnd"/>
            <w:r>
              <w:rPr>
                <w:i/>
              </w:rPr>
              <w:t xml:space="preserve"> in </w:t>
            </w:r>
            <w:proofErr w:type="spellStart"/>
            <w:r>
              <w:rPr>
                <w:i/>
              </w:rPr>
              <w:t>the</w:t>
            </w:r>
            <w:proofErr w:type="spellEnd"/>
            <w:r>
              <w:rPr>
                <w:i/>
              </w:rPr>
              <w:t xml:space="preserve"> business </w:t>
            </w:r>
            <w:proofErr w:type="spellStart"/>
            <w:r>
              <w:rPr>
                <w:i/>
              </w:rPr>
              <w:t>environment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thereby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having</w:t>
            </w:r>
            <w:proofErr w:type="spellEnd"/>
            <w:r>
              <w:rPr>
                <w:i/>
              </w:rPr>
              <w:t xml:space="preserve"> a </w:t>
            </w:r>
            <w:proofErr w:type="spellStart"/>
            <w:r>
              <w:rPr>
                <w:i/>
              </w:rPr>
              <w:t>positive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impact</w:t>
            </w:r>
            <w:proofErr w:type="spellEnd"/>
            <w:r>
              <w:rPr>
                <w:i/>
              </w:rPr>
              <w:t xml:space="preserve"> on </w:t>
            </w:r>
            <w:proofErr w:type="spellStart"/>
            <w:r>
              <w:rPr>
                <w:i/>
              </w:rPr>
              <w:t>economic</w:t>
            </w:r>
            <w:proofErr w:type="spellEnd"/>
            <w:r>
              <w:rPr>
                <w:i/>
              </w:rPr>
              <w:t xml:space="preserve"> stability and </w:t>
            </w:r>
            <w:proofErr w:type="spellStart"/>
            <w:r>
              <w:rPr>
                <w:i/>
              </w:rPr>
              <w:t>social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dialogue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within</w:t>
            </w:r>
            <w:proofErr w:type="spellEnd"/>
            <w:r w:rsidRPr="002F68C9">
              <w:rPr>
                <w:i/>
              </w:rPr>
              <w:t xml:space="preserve"> </w:t>
            </w:r>
            <w:proofErr w:type="spellStart"/>
            <w:r w:rsidRPr="002F68C9">
              <w:rPr>
                <w:i/>
              </w:rPr>
              <w:t>the</w:t>
            </w:r>
            <w:proofErr w:type="spellEnd"/>
            <w:r w:rsidRPr="002F68C9">
              <w:rPr>
                <w:i/>
              </w:rPr>
              <w:t xml:space="preserve"> country</w:t>
            </w:r>
            <w:r w:rsidR="00772D92" w:rsidRPr="00667939">
              <w:rPr>
                <w:i/>
              </w:rPr>
              <w:t>.</w:t>
            </w:r>
          </w:p>
        </w:tc>
      </w:tr>
      <w:tr w:rsidR="00292B6F" w:rsidRPr="00FF6B5A" w14:paraId="4B342EE9" w14:textId="77777777" w:rsidTr="00667939">
        <w:trPr>
          <w:trHeight w:val="4040"/>
        </w:trPr>
        <w:tc>
          <w:tcPr>
            <w:tcW w:w="0" w:type="auto"/>
            <w:shd w:val="clear" w:color="auto" w:fill="auto"/>
            <w:vAlign w:val="bottom"/>
            <w:hideMark/>
          </w:tcPr>
          <w:p w14:paraId="4B342EE6" w14:textId="77777777" w:rsidR="00292B6F" w:rsidRPr="00FF6B5A" w:rsidRDefault="00292B6F" w:rsidP="00292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0" w:type="auto"/>
            <w:gridSpan w:val="2"/>
            <w:shd w:val="clear" w:color="auto" w:fill="DAE3F3"/>
            <w:vAlign w:val="center"/>
            <w:hideMark/>
          </w:tcPr>
          <w:p w14:paraId="4B342EE7" w14:textId="77777777" w:rsidR="00292B6F" w:rsidRPr="00FF6B5A" w:rsidRDefault="00292B6F" w:rsidP="00292B6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OCA19. </w:t>
            </w:r>
            <w:r w:rsidRPr="00422600">
              <w:rPr>
                <w:rFonts w:ascii="Calibri" w:eastAsia="Times New Roman" w:hAnsi="Calibri" w:cs="Times New Roman"/>
                <w:b/>
                <w:color w:val="000000"/>
                <w:lang w:eastAsia="sk-SK"/>
              </w:rPr>
              <w:t>Charakteristika dopadu výstupu a súvisiacich aktivít na vzdelávací proces</w:t>
            </w:r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/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Characteristics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of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output and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related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activities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'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impact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on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the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educational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t>process</w:t>
            </w:r>
            <w:proofErr w:type="spellEnd"/>
            <w:r w:rsidRPr="00FF6B5A">
              <w:rPr>
                <w:rFonts w:ascii="Calibri" w:eastAsia="Times New Roman" w:hAnsi="Calibri" w:cs="Times New Roman"/>
                <w:color w:val="000000"/>
                <w:lang w:eastAsia="sk-SK"/>
              </w:rPr>
              <w:br/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Rozsah do 200 slov v slovenskom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Slovak</w:t>
            </w:r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br/>
              <w:t xml:space="preserve">Rozsah do 200 slov v anglickom jazyku /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Range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up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to 200 </w:t>
            </w:r>
            <w:proofErr w:type="spellStart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>words</w:t>
            </w:r>
            <w:proofErr w:type="spellEnd"/>
            <w:r w:rsidRPr="00FF6B5A">
              <w:rPr>
                <w:rFonts w:ascii="Calibri" w:eastAsia="Times New Roman" w:hAnsi="Calibri" w:cs="Times New Roman"/>
                <w:i/>
                <w:iCs/>
                <w:color w:val="808080"/>
                <w:lang w:eastAsia="sk-SK"/>
              </w:rPr>
              <w:t xml:space="preserve"> in English</w:t>
            </w:r>
          </w:p>
        </w:tc>
        <w:tc>
          <w:tcPr>
            <w:tcW w:w="0" w:type="auto"/>
            <w:shd w:val="clear" w:color="auto" w:fill="auto"/>
            <w:hideMark/>
          </w:tcPr>
          <w:p w14:paraId="3E228CA0" w14:textId="38E2507E" w:rsidR="00292B6F" w:rsidRPr="00FF6B5A" w:rsidRDefault="002F68C9" w:rsidP="1F0121C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</w:pPr>
            <w:r w:rsidRPr="002F68C9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Monografia je cenným zdrojom pre akademické prostredie a vzdelávanie, pretože prináša systematické a didakticky štruktúrované spracovanie individuálnych aj kolektívnych pracovnoprávnych vzťahov. Je vhodná ako učebná pomôcka pre študentov práva, sociológie či manažmentu, keďže spája teoretický základ s praktickými príkladmi a riešeniami. Kapitoly venované pracovným zmluvám, ochranne zamestnancov či kolektívnemu vyjednávaniu sú využiteľné pri výučbe predmetov pracovného práva a pri príprave seminárnych a diplomových prác. Publikácia podporuje kritické myslenie a schopnosť študentov porovnávať slovenskú právnu úpravu s medzinárodnými trendmi, čo zvyšuje ich pripravenosť na prax v globalizovanom prostredí. Autorova aktívna publikačná činnosť tiež slúži ako motivácia pre študentov a doktorandov k vedeckému bádaniu a k prepojeniu akademickej práce s praktickými potrebami trhu práce.</w:t>
            </w:r>
            <w:r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 xml:space="preserve"> </w:t>
            </w:r>
            <w:r w:rsidR="00C5192C" w:rsidRPr="1F0121C8">
              <w:rPr>
                <w:rFonts w:ascii="Calibri" w:eastAsia="Times New Roman" w:hAnsi="Calibri" w:cs="Times New Roman"/>
                <w:color w:val="000000" w:themeColor="text1"/>
                <w:lang w:eastAsia="sk-SK"/>
              </w:rPr>
              <w:t>/</w:t>
            </w:r>
          </w:p>
          <w:p w14:paraId="4B342EE8" w14:textId="1FC590BE" w:rsidR="00292B6F" w:rsidRPr="00667939" w:rsidRDefault="002F68C9" w:rsidP="00C5192C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i/>
                <w:color w:val="000000"/>
                <w:lang w:eastAsia="sk-SK"/>
              </w:rPr>
            </w:pP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monograph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valuable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resource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for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academic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environment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education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as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it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provides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systematic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didactically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structured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treatment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of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both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individual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collective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relations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.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It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suitable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as a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teaching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aid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for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students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of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law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sociology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or management, as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it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combines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theoretical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foundation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with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practical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examples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solutions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.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Chapters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devoted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to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employment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contracts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employee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protection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or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collective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bargaining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can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be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effectively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utilised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in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teaching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labour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law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courses</w:t>
            </w:r>
            <w:proofErr w:type="spellEnd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in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preparing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seminar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thesis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papers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.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publication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fosters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critical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thinking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enables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students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to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compare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Slovak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law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with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international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trends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,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thereby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enhancing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their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readiness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for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practice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in a </w:t>
            </w:r>
            <w:proofErr w:type="spellStart"/>
            <w:r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globalised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environment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.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author’s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active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publishing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activity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also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serves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as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an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inspiration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for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students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doctoral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candidates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to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pursue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scientific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research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and to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connect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academic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work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with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practical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needs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of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the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labour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 xml:space="preserve"> </w:t>
            </w:r>
            <w:proofErr w:type="spellStart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market</w:t>
            </w:r>
            <w:proofErr w:type="spellEnd"/>
            <w:r w:rsidRPr="002F68C9">
              <w:rPr>
                <w:rFonts w:ascii="Calibri" w:eastAsia="Times New Roman" w:hAnsi="Calibri" w:cs="Times New Roman"/>
                <w:i/>
                <w:color w:val="000000" w:themeColor="text1"/>
                <w:lang w:eastAsia="sk-SK"/>
              </w:rPr>
              <w:t>.</w:t>
            </w:r>
          </w:p>
        </w:tc>
      </w:tr>
    </w:tbl>
    <w:p w14:paraId="4B342EEA" w14:textId="77777777" w:rsidR="00502F15" w:rsidRDefault="00502F15" w:rsidP="00020D32"/>
    <w:sectPr w:rsidR="00502F15" w:rsidSect="008E2108">
      <w:headerReference w:type="default" r:id="rId24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30442" w14:textId="77777777" w:rsidR="0081571C" w:rsidRDefault="0081571C" w:rsidP="00816E73">
      <w:pPr>
        <w:spacing w:after="0" w:line="240" w:lineRule="auto"/>
      </w:pPr>
      <w:r>
        <w:separator/>
      </w:r>
    </w:p>
  </w:endnote>
  <w:endnote w:type="continuationSeparator" w:id="0">
    <w:p w14:paraId="2E11FBFB" w14:textId="77777777" w:rsidR="0081571C" w:rsidRDefault="0081571C" w:rsidP="00816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D92CB" w14:textId="77777777" w:rsidR="0081571C" w:rsidRDefault="0081571C" w:rsidP="00816E73">
      <w:pPr>
        <w:spacing w:after="0" w:line="240" w:lineRule="auto"/>
      </w:pPr>
      <w:r>
        <w:separator/>
      </w:r>
    </w:p>
  </w:footnote>
  <w:footnote w:type="continuationSeparator" w:id="0">
    <w:p w14:paraId="2646CB44" w14:textId="77777777" w:rsidR="0081571C" w:rsidRDefault="0081571C" w:rsidP="00816E73">
      <w:pPr>
        <w:spacing w:after="0" w:line="240" w:lineRule="auto"/>
      </w:pPr>
      <w:r>
        <w:continuationSeparator/>
      </w:r>
    </w:p>
  </w:footnote>
  <w:footnote w:id="1">
    <w:p w14:paraId="4B342EF9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Doplní agentúra /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completed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by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Agency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2">
    <w:p w14:paraId="4B342EFA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Podľa čl. 20 Metodiky na vyhodnocovanie štandardov.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Art. 20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Methodology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Standards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Evaluation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4B342EFB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Uvedie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osoby v Registri zamestnancov vysokých škôl: https://www.portalvs.sk/regzam.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person's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entry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Register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University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Staff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: https://www.portalvs.sk/regzam.</w:t>
      </w:r>
    </w:p>
  </w:footnote>
  <w:footnote w:id="4">
    <w:p w14:paraId="4B342EFC" w14:textId="77777777" w:rsidR="004E4845" w:rsidRPr="001F26CD" w:rsidRDefault="004E4845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Uvádza sa názov a stupeň študijného programu alebo názov odboru habilitačného konania a inauguračného konania podľa typu konania.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br/>
        <w:t xml:space="preserve">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degree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study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programme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name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field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habilitation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inaugural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according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type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procedure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5">
    <w:p w14:paraId="4B342EFD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ID záznamu v registri CREPČ alebo CREUČ.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ID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6">
    <w:p w14:paraId="4B342EFE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na záznam výstupu v CREPČ alebo CREUČ, ktoré sú umiestnené na adrese: https://cms.crepc.sk.  /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hyperlink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to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record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CRPA or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CRAA,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which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are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available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at https://cms.crepc.sk/,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4B342EFF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Napríklad katalóg publikačnej činnosti SAV,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For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example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catalogue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publication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activities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Slovak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Academy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Sciences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(SAS),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WoS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Scopus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8">
    <w:p w14:paraId="4B342F00" w14:textId="77777777" w:rsidR="00532FE9" w:rsidRPr="001F26CD" w:rsidRDefault="00532FE9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 netextových výstupov, ak to z povahy výstupu nie je zrejmé. Uvedie sa anotácia výstupu s kontextovými informáciami týkajúcimi sa opisu tvorivého procesu a obsahu tvorivej činnosti a pod.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-text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outputs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if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obvious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from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with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contextual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information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concerning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description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creative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process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research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artistic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/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activity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, etc.</w:t>
      </w:r>
    </w:p>
  </w:footnote>
  <w:footnote w:id="9">
    <w:p w14:paraId="4B342F01" w14:textId="77777777" w:rsidR="00292B6F" w:rsidRPr="001F26CD" w:rsidRDefault="00292B6F" w:rsidP="008E2108">
      <w:pPr>
        <w:pStyle w:val="Textpoznmkypodiarou"/>
        <w:ind w:left="-709" w:right="-426"/>
        <w:rPr>
          <w:sz w:val="18"/>
          <w:szCs w:val="18"/>
        </w:rPr>
      </w:pPr>
      <w:r w:rsidRPr="001F26CD">
        <w:rPr>
          <w:rStyle w:val="Odkaznapoznmkupodiarou"/>
          <w:sz w:val="18"/>
          <w:szCs w:val="18"/>
        </w:rPr>
        <w:footnoteRef/>
      </w:r>
      <w:r w:rsidRPr="001F26CD">
        <w:rPr>
          <w:sz w:val="18"/>
          <w:szCs w:val="18"/>
        </w:rPr>
        <w:t xml:space="preserve"> </w:t>
      </w:r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Uvádza sa v prípade, ak je výstup uverejnený v inom ako anglickom jazyku. Uvedie sa anotácia výstupu v anglickom jazyku, v ktorej sa stručne charakterizuje povaha, obsah a hlavné výsledky výstupu. /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stated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case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published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in a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language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other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than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English.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Annotation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 in English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is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provided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briefly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characterizing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nature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,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content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and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main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results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of </w:t>
      </w:r>
      <w:proofErr w:type="spellStart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the</w:t>
      </w:r>
      <w:proofErr w:type="spellEnd"/>
      <w:r w:rsidRPr="001F26CD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output.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42EF0" w14:textId="77777777" w:rsidR="006849EB" w:rsidRDefault="00B15040" w:rsidP="00B15040">
    <w:pPr>
      <w:pStyle w:val="Hlavika"/>
      <w:jc w:val="center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 wp14:anchorId="4B342EF7" wp14:editId="4B342EF8">
          <wp:simplePos x="0" y="0"/>
          <wp:positionH relativeFrom="margin">
            <wp:posOffset>5033645</wp:posOffset>
          </wp:positionH>
          <wp:positionV relativeFrom="paragraph">
            <wp:posOffset>-181610</wp:posOffset>
          </wp:positionV>
          <wp:extent cx="571500" cy="570230"/>
          <wp:effectExtent l="0" t="0" r="0" b="1270"/>
          <wp:wrapTight wrapText="bothSides">
            <wp:wrapPolygon edited="0">
              <wp:start x="0" y="0"/>
              <wp:lineTo x="0" y="20927"/>
              <wp:lineTo x="20880" y="20927"/>
              <wp:lineTo x="20880" y="0"/>
              <wp:lineTo x="0" y="0"/>
            </wp:wrapPolygon>
          </wp:wrapTight>
          <wp:docPr id="2" name="Obrázok 2" descr="F:\Docs\MOJE DOKUMEN na Referat IS (Prf_88)\Loga_&amp;_Popisky\_Logo PF 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ocs\MOJE DOKUMEN na Referat IS (Prf_88)\Loga_&amp;_Popisky\_Logo PF 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0601">
      <w:t>Trnavská univerzita v Trnave, Právnická fakulta</w:t>
    </w:r>
  </w:p>
  <w:p w14:paraId="4B342EF1" w14:textId="77777777" w:rsidR="006849EB" w:rsidRDefault="006849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6864A2"/>
    <w:multiLevelType w:val="hybridMultilevel"/>
    <w:tmpl w:val="E2E87206"/>
    <w:lvl w:ilvl="0" w:tplc="91B206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706173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M2M7Q0tDAzM7IwtjRV0lEKTi0uzszPAykwqwUABHcqOCwAAAA="/>
  </w:docVars>
  <w:rsids>
    <w:rsidRoot w:val="004D5CBD"/>
    <w:rsid w:val="00020D32"/>
    <w:rsid w:val="00032730"/>
    <w:rsid w:val="0008088C"/>
    <w:rsid w:val="00087B3E"/>
    <w:rsid w:val="000F32F0"/>
    <w:rsid w:val="00102D82"/>
    <w:rsid w:val="00112F47"/>
    <w:rsid w:val="00120987"/>
    <w:rsid w:val="001335DE"/>
    <w:rsid w:val="00153698"/>
    <w:rsid w:val="00180FAF"/>
    <w:rsid w:val="001A42DD"/>
    <w:rsid w:val="001F26CD"/>
    <w:rsid w:val="00222794"/>
    <w:rsid w:val="00280BDB"/>
    <w:rsid w:val="00292B6F"/>
    <w:rsid w:val="002F68C9"/>
    <w:rsid w:val="00314887"/>
    <w:rsid w:val="0036387D"/>
    <w:rsid w:val="00417E56"/>
    <w:rsid w:val="00422600"/>
    <w:rsid w:val="0043124D"/>
    <w:rsid w:val="00441439"/>
    <w:rsid w:val="00454786"/>
    <w:rsid w:val="004B56AD"/>
    <w:rsid w:val="004C4436"/>
    <w:rsid w:val="004D0E1F"/>
    <w:rsid w:val="004D5CBD"/>
    <w:rsid w:val="004E4845"/>
    <w:rsid w:val="00502F15"/>
    <w:rsid w:val="00532FE9"/>
    <w:rsid w:val="00540DB4"/>
    <w:rsid w:val="00572798"/>
    <w:rsid w:val="005C1DB8"/>
    <w:rsid w:val="005F4B21"/>
    <w:rsid w:val="00610229"/>
    <w:rsid w:val="006548EC"/>
    <w:rsid w:val="00667939"/>
    <w:rsid w:val="00675F63"/>
    <w:rsid w:val="006849EB"/>
    <w:rsid w:val="006A7FAB"/>
    <w:rsid w:val="006E28A1"/>
    <w:rsid w:val="00772D92"/>
    <w:rsid w:val="007C0445"/>
    <w:rsid w:val="007D6E49"/>
    <w:rsid w:val="008119FF"/>
    <w:rsid w:val="0081571C"/>
    <w:rsid w:val="00816DC1"/>
    <w:rsid w:val="00816E73"/>
    <w:rsid w:val="00852CC7"/>
    <w:rsid w:val="00893EDA"/>
    <w:rsid w:val="008B78D7"/>
    <w:rsid w:val="008E2108"/>
    <w:rsid w:val="008F44A2"/>
    <w:rsid w:val="00915569"/>
    <w:rsid w:val="00925FA9"/>
    <w:rsid w:val="009547F9"/>
    <w:rsid w:val="00975300"/>
    <w:rsid w:val="00980601"/>
    <w:rsid w:val="009A742D"/>
    <w:rsid w:val="00A1149C"/>
    <w:rsid w:val="00A23768"/>
    <w:rsid w:val="00A310B5"/>
    <w:rsid w:val="00B15040"/>
    <w:rsid w:val="00B8470B"/>
    <w:rsid w:val="00BA1526"/>
    <w:rsid w:val="00BC0D1C"/>
    <w:rsid w:val="00BC36C4"/>
    <w:rsid w:val="00C40D4D"/>
    <w:rsid w:val="00C5192C"/>
    <w:rsid w:val="00C86832"/>
    <w:rsid w:val="00CD74DB"/>
    <w:rsid w:val="00CF2BC0"/>
    <w:rsid w:val="00D64B7C"/>
    <w:rsid w:val="00D733AB"/>
    <w:rsid w:val="00DB012E"/>
    <w:rsid w:val="00DD6427"/>
    <w:rsid w:val="00DE41A9"/>
    <w:rsid w:val="00DF77E6"/>
    <w:rsid w:val="00EC403D"/>
    <w:rsid w:val="00F70D72"/>
    <w:rsid w:val="00F955AF"/>
    <w:rsid w:val="00FE27EC"/>
    <w:rsid w:val="00FF6B5A"/>
    <w:rsid w:val="1D7276F1"/>
    <w:rsid w:val="1F0121C8"/>
    <w:rsid w:val="20C27B24"/>
    <w:rsid w:val="7BE3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B342E62"/>
  <w15:docId w15:val="{41FC01A6-9E32-4933-9038-56FB59B2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FF6B5A"/>
    <w:rPr>
      <w:color w:val="0563C1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E73"/>
  </w:style>
  <w:style w:type="paragraph" w:styleId="Pta">
    <w:name w:val="footer"/>
    <w:basedOn w:val="Normlny"/>
    <w:link w:val="PtaChar"/>
    <w:uiPriority w:val="99"/>
    <w:unhideWhenUsed/>
    <w:rsid w:val="00816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E73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02F1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02F1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02F15"/>
    <w:rPr>
      <w:vertAlign w:val="superscript"/>
    </w:rPr>
  </w:style>
  <w:style w:type="character" w:styleId="Vrazn">
    <w:name w:val="Strong"/>
    <w:basedOn w:val="Predvolenpsmoodseku"/>
    <w:uiPriority w:val="22"/>
    <w:qFormat/>
    <w:rsid w:val="00FE27EC"/>
    <w:rPr>
      <w:b/>
      <w:bCs/>
    </w:rPr>
  </w:style>
  <w:style w:type="paragraph" w:styleId="Odsekzoznamu">
    <w:name w:val="List Paragraph"/>
    <w:basedOn w:val="Normlny"/>
    <w:uiPriority w:val="34"/>
    <w:qFormat/>
    <w:rsid w:val="00816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8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7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0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4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3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10" Type="http://schemas.openxmlformats.org/officeDocument/2006/relationships/endnotes" Target="endnotes.xml"/><Relationship Id="rId19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Relationship Id="rId22" Type="http://schemas.openxmlformats.org/officeDocument/2006/relationships/hyperlink" Target="file:///E:/_Docs%20%26amp;%20Rozne/DOC/Doc/Zbornik%26amp;Doc/Nov&#253;/Nov&#253;_doc/__Webstr/z_POM/Doc/Nov&#253;/Hodnot%20sprava/Intranet/IMG%20web/Nov&#253;%20prie&#269;inok/T_Z_VTC_SjAj_1-2020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37FBFA494A54B9972E5B2EB3B16FC" ma:contentTypeVersion="0" ma:contentTypeDescription="Umožňuje vytvoriť nový dokument." ma:contentTypeScope="" ma:versionID="a07172c59a42fe1c378c81a29cbf87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2ffd0f42943e496e21980a7bc59f7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F2B6EE-6685-446F-86B2-EEFDD3938E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B2A4D66-AF09-4765-A275-B7EA50EBF0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34EE36-896C-4EF1-9860-620EDDC487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59F348-F197-4DED-86CB-F4B194A7B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1991</Words>
  <Characters>11354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13319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Brestovanská Daniela</cp:lastModifiedBy>
  <cp:revision>42</cp:revision>
  <dcterms:created xsi:type="dcterms:W3CDTF">2022-01-10T11:04:00Z</dcterms:created>
  <dcterms:modified xsi:type="dcterms:W3CDTF">2025-10-16T08:19:00Z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0x01010093037FBFA494A54B9972E5B2EB3B16FC</vt:lpwstr>
  </property>
  <property fmtid="{D5CDD505-2E9C-101B-9397-08002B2CF9AE}" pid="3" name="Order">
    <vt:r8>83900</vt:r8>
  </property>
  <property fmtid="{D5CDD505-2E9C-101B-9397-08002B2CF9AE}" pid="4" name="xd_Signature">
    <vt:bool>false</vt:bool>
  </property>
  <property fmtid="{D5CDD505-2E9C-101B-9397-08002B2CF9AE}" pid="5" name="_ExtendedDescription">
    <vt:lpwstr/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GrammarlyDocumentId">
    <vt:lpwstr>359145db-998b-4728-b15a-f9f58fac489c</vt:lpwstr>
  </property>
</Properties>
</file>