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6"/>
        <w:gridCol w:w="2138"/>
        <w:gridCol w:w="7203"/>
      </w:tblGrid>
      <w:tr w:rsidR="00FF6B5A" w:rsidRPr="00FF6B5A" w14:paraId="38D0CD8E" w14:textId="77777777" w:rsidTr="44E39FEE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44E39FEE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44E39FEE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3B92B4F" w14:textId="77777777" w:rsidTr="44E39FEE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44E39FEE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44E39FEE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0B7CF3D" w14:textId="77777777" w:rsidTr="44E39FEE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7F923D2" w14:textId="77777777" w:rsidTr="44E39FEE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240110FC" w14:textId="77777777" w:rsidTr="44E39FEE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6649BE5D" w14:textId="77777777" w:rsidTr="44E39FEE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F6B5A" w:rsidRPr="00FF6B5A" w14:paraId="0D462BED" w14:textId="77777777" w:rsidTr="44E39FE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7D3EAB4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proofErr w:type="spellStart"/>
            <w:r w:rsidR="00FC5E34">
              <w:rPr>
                <w:rFonts w:eastAsia="Times New Roman" w:cstheme="minorHAnsi"/>
                <w:color w:val="000000"/>
                <w:lang w:eastAsia="sk-SK"/>
              </w:rPr>
              <w:t>Ž</w:t>
            </w:r>
            <w:r w:rsidR="00FC5E34">
              <w:rPr>
                <w:rFonts w:eastAsia="Times New Roman"/>
                <w:color w:val="000000"/>
                <w:lang w:eastAsia="sk-SK"/>
              </w:rPr>
              <w:t>itňanská</w:t>
            </w:r>
            <w:proofErr w:type="spellEnd"/>
          </w:p>
        </w:tc>
      </w:tr>
      <w:tr w:rsidR="00FF6B5A" w:rsidRPr="00FF6B5A" w14:paraId="0B0CB2B5" w14:textId="77777777" w:rsidTr="44E39FEE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00000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8476C2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FC5E34">
              <w:rPr>
                <w:rFonts w:eastAsia="Times New Roman" w:cstheme="minorHAnsi"/>
                <w:color w:val="000000"/>
                <w:lang w:eastAsia="sk-SK"/>
              </w:rPr>
              <w:t>L</w:t>
            </w:r>
            <w:r w:rsidR="00FC5E34">
              <w:rPr>
                <w:rFonts w:eastAsia="Times New Roman"/>
                <w:color w:val="000000"/>
                <w:lang w:eastAsia="sk-SK"/>
              </w:rPr>
              <w:t>ucia</w:t>
            </w:r>
          </w:p>
        </w:tc>
      </w:tr>
      <w:tr w:rsidR="00FF6B5A" w:rsidRPr="00FF6B5A" w14:paraId="04319611" w14:textId="77777777" w:rsidTr="44E39FE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00000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1B4992C4" w:rsidR="00FF6B5A" w:rsidRPr="00CB01FF" w:rsidRDefault="00FC5E3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</w:t>
            </w:r>
            <w:r>
              <w:rPr>
                <w:rFonts w:eastAsia="Times New Roman"/>
                <w:color w:val="000000"/>
                <w:lang w:eastAsia="sk-SK"/>
              </w:rPr>
              <w:t>oc. JUDr. PhD.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56709914" w14:textId="77777777" w:rsidTr="44E39FE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53E34D7D" w:rsidR="000C473D" w:rsidRPr="00CB01FF" w:rsidRDefault="00433097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433097">
              <w:rPr>
                <w:rFonts w:eastAsia="Times New Roman" w:cstheme="minorHAnsi"/>
                <w:iCs/>
                <w:color w:val="000000"/>
                <w:lang w:eastAsia="sk-SK"/>
              </w:rPr>
              <w:t>https://www.portalvs.sk/regzam/detail/11950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4D19C3C" w14:textId="77777777" w:rsidTr="44E39FEE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082922F" w14:textId="77777777" w:rsidR="00FF6B5A" w:rsidRPr="00FF6B5A" w:rsidRDefault="0000000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C2F11FA" w14:textId="04937385" w:rsidR="00FF6B5A" w:rsidRPr="00CB01FF" w:rsidRDefault="00FF6B5A" w:rsidP="0042260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277187" w:rsidRPr="00CB01FF">
              <w:rPr>
                <w:rFonts w:eastAsia="Times New Roman" w:cstheme="minorHAnsi"/>
                <w:lang w:eastAsia="sk-SK"/>
              </w:rPr>
              <w:t> </w:t>
            </w:r>
            <w:r w:rsidR="00277187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277187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277187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5AE22338" w14:textId="77777777" w:rsidTr="44E39FEE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29E0DD27" w:rsidR="008E2108" w:rsidRDefault="01BAC9A9" w:rsidP="44E39FE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4E39FEE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74A910B0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</w:tr>
      <w:tr w:rsidR="00FF6B5A" w:rsidRPr="00FF6B5A" w14:paraId="2755EA2A" w14:textId="77777777" w:rsidTr="44E39FE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000000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lastRenderedPageBreak/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F6B5A" w:rsidRPr="00FF6B5A" w14:paraId="5CF1856E" w14:textId="77777777" w:rsidTr="44E39FEE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2DA0F55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CE5D14" w:rsidRPr="00CB01FF">
              <w:rPr>
                <w:rFonts w:eastAsia="Times New Roman" w:cstheme="minorHAnsi"/>
                <w:color w:val="000000"/>
                <w:lang w:eastAsia="sk-SK"/>
              </w:rPr>
              <w:t>20</w:t>
            </w:r>
            <w:r w:rsidR="00C25E50">
              <w:rPr>
                <w:rFonts w:eastAsia="Times New Roman" w:cstheme="minorHAnsi"/>
                <w:color w:val="000000"/>
                <w:lang w:eastAsia="sk-SK"/>
              </w:rPr>
              <w:t>20</w:t>
            </w:r>
          </w:p>
        </w:tc>
      </w:tr>
      <w:tr w:rsidR="00FF6B5A" w:rsidRPr="00FF6B5A" w14:paraId="70C2F838" w14:textId="77777777" w:rsidTr="44E39FEE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443835B4" w14:textId="77777777" w:rsidR="00C25E50" w:rsidRPr="00B3774D" w:rsidRDefault="00C25E50" w:rsidP="00C25E50">
            <w:pPr>
              <w:spacing w:after="0" w:line="240" w:lineRule="auto"/>
              <w:rPr>
                <w:rFonts w:cstheme="minorHAnsi"/>
              </w:rPr>
            </w:pPr>
            <w:r w:rsidRPr="00B3774D">
              <w:rPr>
                <w:rFonts w:cstheme="minorHAnsi"/>
              </w:rPr>
              <w:t>ID: 222199 | Obchodné právo (2) [textový dokument (</w:t>
            </w:r>
            <w:proofErr w:type="spellStart"/>
            <w:r w:rsidRPr="00B3774D">
              <w:rPr>
                <w:rFonts w:cstheme="minorHAnsi"/>
              </w:rPr>
              <w:t>print</w:t>
            </w:r>
            <w:proofErr w:type="spellEnd"/>
            <w:r w:rsidRPr="00B3774D">
              <w:rPr>
                <w:rFonts w:cstheme="minorHAnsi"/>
              </w:rPr>
              <w:t xml:space="preserve">)] : obchodné spoločnosti a družstvo / Ovečková, Oľga [Autor, 34%] ; </w:t>
            </w:r>
            <w:proofErr w:type="spellStart"/>
            <w:r w:rsidRPr="00B3774D">
              <w:rPr>
                <w:rFonts w:cstheme="minorHAnsi"/>
              </w:rPr>
              <w:t>Csach</w:t>
            </w:r>
            <w:proofErr w:type="spellEnd"/>
            <w:r w:rsidRPr="00B3774D">
              <w:rPr>
                <w:rFonts w:cstheme="minorHAnsi"/>
              </w:rPr>
              <w:t xml:space="preserve">, Kristián [Autor, 33%] ; </w:t>
            </w:r>
            <w:proofErr w:type="spellStart"/>
            <w:r w:rsidRPr="00B3774D">
              <w:rPr>
                <w:rFonts w:cstheme="minorHAnsi"/>
              </w:rPr>
              <w:t>Žitňanská</w:t>
            </w:r>
            <w:proofErr w:type="spellEnd"/>
            <w:r w:rsidRPr="00B3774D">
              <w:rPr>
                <w:rFonts w:cstheme="minorHAnsi"/>
              </w:rPr>
              <w:t xml:space="preserve">, Lucia [Autor, 33%] ; Moravčíková, Andrea [Recenzent] ; </w:t>
            </w:r>
            <w:proofErr w:type="spellStart"/>
            <w:r w:rsidRPr="00B3774D">
              <w:rPr>
                <w:rFonts w:cstheme="minorHAnsi"/>
              </w:rPr>
              <w:t>Havel</w:t>
            </w:r>
            <w:proofErr w:type="spellEnd"/>
            <w:r w:rsidRPr="00B3774D">
              <w:rPr>
                <w:rFonts w:cstheme="minorHAnsi"/>
              </w:rPr>
              <w:t xml:space="preserve">, Bohumil [Recenzent] ; </w:t>
            </w:r>
            <w:proofErr w:type="spellStart"/>
            <w:r w:rsidRPr="00B3774D">
              <w:rPr>
                <w:rFonts w:cstheme="minorHAnsi"/>
              </w:rPr>
              <w:t>Pala</w:t>
            </w:r>
            <w:proofErr w:type="spellEnd"/>
            <w:r w:rsidRPr="00B3774D">
              <w:rPr>
                <w:rFonts w:cstheme="minorHAnsi"/>
              </w:rPr>
              <w:t xml:space="preserve">, Radovan [Recenzent]. – 1. vyd. – Bratislava (Slovensko) : </w:t>
            </w:r>
            <w:proofErr w:type="spellStart"/>
            <w:r w:rsidRPr="00B3774D">
              <w:rPr>
                <w:rFonts w:cstheme="minorHAnsi"/>
              </w:rPr>
              <w:t>Wolters</w:t>
            </w:r>
            <w:proofErr w:type="spellEnd"/>
            <w:r w:rsidRPr="00B3774D">
              <w:rPr>
                <w:rFonts w:cstheme="minorHAnsi"/>
              </w:rPr>
              <w:t xml:space="preserve"> </w:t>
            </w:r>
            <w:proofErr w:type="spellStart"/>
            <w:r w:rsidRPr="00B3774D">
              <w:rPr>
                <w:rFonts w:cstheme="minorHAnsi"/>
              </w:rPr>
              <w:t>Kluwer</w:t>
            </w:r>
            <w:proofErr w:type="spellEnd"/>
            <w:r w:rsidRPr="00B3774D">
              <w:rPr>
                <w:rFonts w:cstheme="minorHAnsi"/>
              </w:rPr>
              <w:t xml:space="preserve">. </w:t>
            </w:r>
            <w:proofErr w:type="spellStart"/>
            <w:r w:rsidRPr="00B3774D">
              <w:rPr>
                <w:rFonts w:cstheme="minorHAnsi"/>
              </w:rPr>
              <w:t>Wolters</w:t>
            </w:r>
            <w:proofErr w:type="spellEnd"/>
            <w:r w:rsidRPr="00B3774D">
              <w:rPr>
                <w:rFonts w:cstheme="minorHAnsi"/>
              </w:rPr>
              <w:t xml:space="preserve"> </w:t>
            </w:r>
            <w:proofErr w:type="spellStart"/>
            <w:r w:rsidRPr="00B3774D">
              <w:rPr>
                <w:rFonts w:cstheme="minorHAnsi"/>
              </w:rPr>
              <w:t>Kluwer</w:t>
            </w:r>
            <w:proofErr w:type="spellEnd"/>
            <w:r w:rsidRPr="00B3774D">
              <w:rPr>
                <w:rFonts w:cstheme="minorHAnsi"/>
              </w:rPr>
              <w:t xml:space="preserve"> SR, 2020. – 424 s. [tlačená forma]. – ISBN 978-80-571-0291-5. – ISBN (elektronické) 978-80-571-0292-2</w:t>
            </w:r>
          </w:p>
          <w:p w14:paraId="7EA0900B" w14:textId="1CA6C09E" w:rsidR="00422600" w:rsidRPr="00CB01FF" w:rsidRDefault="00422600" w:rsidP="00EA434E">
            <w:pPr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7043AB98" w14:textId="77777777" w:rsidTr="44E39FEE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4117ABD5" w14:textId="77777777" w:rsidR="00C25E50" w:rsidRPr="00B3774D" w:rsidRDefault="00C25E50" w:rsidP="00C25E50">
            <w:pPr>
              <w:spacing w:after="0" w:line="240" w:lineRule="auto"/>
              <w:rPr>
                <w:rFonts w:cstheme="minorHAnsi"/>
              </w:rPr>
            </w:pPr>
            <w:r w:rsidRPr="00B3774D">
              <w:rPr>
                <w:rFonts w:cstheme="minorHAnsi"/>
              </w:rPr>
              <w:t xml:space="preserve">    https://app.crepc.sk/?fn=detailBiblioForm&amp;sid=E8E9ABE8FCE661A0529306B5A6</w:t>
            </w:r>
          </w:p>
          <w:p w14:paraId="5FF90BB9" w14:textId="1E4E68D0" w:rsidR="00FF6B5A" w:rsidRPr="00CB01FF" w:rsidRDefault="00FF6B5A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C86832" w:rsidRPr="00FF6B5A" w14:paraId="21498929" w14:textId="77777777" w:rsidTr="44E39FEE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6BA9D2A2" w14:textId="77777777" w:rsidTr="44E39FEE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51BFBC80" w14:textId="77777777" w:rsidTr="44E39FEE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29E661A" w14:textId="0E8964E9" w:rsidR="00FF6B5A" w:rsidRPr="00CB01FF" w:rsidRDefault="00FF6B5A" w:rsidP="003702C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DD2128C" w14:textId="77777777" w:rsidTr="44E39FEE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FF6B5A" w:rsidRPr="00CB01FF" w:rsidRDefault="00000000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</w:tcPr>
          <w:p w14:paraId="6266D3A3" w14:textId="0E755BC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</w:p>
        </w:tc>
      </w:tr>
      <w:tr w:rsidR="00FF6B5A" w:rsidRPr="00FF6B5A" w14:paraId="3994E767" w14:textId="77777777" w:rsidTr="44E39FEE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49B38A92" w14:textId="77777777" w:rsidTr="44E39FEE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D33DD09" w14:textId="6CDC73AD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270C6842" w14:textId="77777777" w:rsidTr="44E39FEE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FF6B5A" w:rsidRPr="00CB01FF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othe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CE3C7A3" w14:textId="5B45C444" w:rsidR="00C25E50" w:rsidRPr="00C25E50" w:rsidRDefault="00C25E50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25E50">
              <w:rPr>
                <w:rFonts w:eastAsia="Times New Roman" w:cstheme="minorHAnsi"/>
                <w:color w:val="000000"/>
                <w:lang w:eastAsia="sk-SK"/>
              </w:rPr>
              <w:lastRenderedPageBreak/>
              <w:t xml:space="preserve"> </w:t>
            </w:r>
          </w:p>
          <w:p w14:paraId="6D13AE23" w14:textId="4ACC1098" w:rsidR="00422600" w:rsidRPr="00C25E50" w:rsidRDefault="00422600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</w:tc>
      </w:tr>
      <w:tr w:rsidR="00FF6B5A" w:rsidRPr="00FF6B5A" w14:paraId="0E3A4A1E" w14:textId="77777777" w:rsidTr="44E39FEE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FF6B5A" w:rsidRPr="00FF6B5A" w:rsidRDefault="0000000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45D4C299" w14:textId="7D88C38C" w:rsidR="00422600" w:rsidRPr="00CB01FF" w:rsidRDefault="003702C5" w:rsidP="003702C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introduces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previously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unused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approach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Slovakia of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presenting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comprehensive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view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Slovak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not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through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individual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institutes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across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forms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offers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cross-cutting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view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abstracts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basic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functional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elements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offers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civil and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takes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into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account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links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general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private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as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well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as a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large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number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decision-making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activities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Slovak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courts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customs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have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developed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this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sector</w:t>
            </w:r>
            <w:proofErr w:type="spellEnd"/>
            <w:r w:rsidRPr="00C25E5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central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elements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are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status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functioning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bodies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and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property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corporations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emphasis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not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regulation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but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a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detailed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individual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institutes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primarily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from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their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functional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point of </w:t>
            </w:r>
            <w:proofErr w:type="spellStart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view</w:t>
            </w:r>
            <w:proofErr w:type="spellEnd"/>
            <w:r w:rsidR="00AE36B5" w:rsidRPr="00AE36B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715A9106" w14:textId="77777777" w:rsidTr="44E39FEE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85805C7" w14:textId="3837BE0C" w:rsidR="00F83BCB" w:rsidRPr="00F0362C" w:rsidRDefault="00F0362C" w:rsidP="00F036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2021 [3] ELIÁŠ, K.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Výchozí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zákonná pravidla výkonu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funkce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člena orgánu. In ŽITŇANSKÁ, L. - HAVEL, B. - CSACH, K. a kol.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Smluvní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režim výkonu. Praha :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Wolters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Kluwer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ČR, 2021, s. 171. ISBN 978-80-7552-654-0</w:t>
            </w:r>
            <w:r w:rsidRPr="00B3774D">
              <w:rPr>
                <w:rStyle w:val="scxw70156145"/>
                <w:rFonts w:asciiTheme="minorHAnsi" w:hAnsiTheme="minorHAnsi" w:cstheme="minorHAnsi"/>
                <w:color w:val="474747"/>
                <w:sz w:val="22"/>
                <w:szCs w:val="22"/>
              </w:rPr>
              <w:t> </w:t>
            </w:r>
            <w:r w:rsidRPr="00B3774D">
              <w:rPr>
                <w:rFonts w:asciiTheme="minorHAnsi" w:hAnsiTheme="minorHAnsi" w:cstheme="minorHAnsi"/>
                <w:color w:val="474747"/>
                <w:sz w:val="22"/>
                <w:szCs w:val="22"/>
              </w:rPr>
              <w:br/>
            </w: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2021 [4] POBJAK, T. Trestný čin porušovania povinnosti pri správe cudzieho majetku zo strany člena štatutárneho orgánu : 1. časť. In Bulletin slovenskej advokácie, roč. 27, č. 10, 2021, s. 31. ISSN 1335-1079</w:t>
            </w:r>
            <w:r w:rsidRPr="00B3774D">
              <w:rPr>
                <w:rStyle w:val="scxw70156145"/>
                <w:rFonts w:asciiTheme="minorHAnsi" w:hAnsiTheme="minorHAnsi" w:cstheme="minorHAnsi"/>
                <w:color w:val="474747"/>
                <w:sz w:val="22"/>
                <w:szCs w:val="22"/>
              </w:rPr>
              <w:t> </w:t>
            </w:r>
            <w:r w:rsidRPr="00B3774D">
              <w:rPr>
                <w:rFonts w:asciiTheme="minorHAnsi" w:hAnsiTheme="minorHAnsi" w:cstheme="minorHAnsi"/>
                <w:color w:val="474747"/>
                <w:sz w:val="22"/>
                <w:szCs w:val="22"/>
              </w:rPr>
              <w:br/>
            </w: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2021 [4] TOMIN, M. Ničotnosť uznesenia valného zhromaždenia obchodnej spoločnosti. In Justičná revue : časopis pre právnu teóriu a prax, roč. 73, č. 8-9, 2021, s. 970. ISSN 1335-6461</w:t>
            </w:r>
            <w:r w:rsidRPr="00B3774D">
              <w:rPr>
                <w:rStyle w:val="scxw70156145"/>
                <w:rFonts w:asciiTheme="minorHAnsi" w:hAnsiTheme="minorHAnsi" w:cstheme="minorHAnsi"/>
                <w:color w:val="474747"/>
                <w:sz w:val="22"/>
                <w:szCs w:val="22"/>
              </w:rPr>
              <w:t> </w:t>
            </w:r>
            <w:r w:rsidRPr="00B3774D">
              <w:rPr>
                <w:rFonts w:asciiTheme="minorHAnsi" w:hAnsiTheme="minorHAnsi" w:cstheme="minorHAnsi"/>
                <w:color w:val="474747"/>
                <w:sz w:val="22"/>
                <w:szCs w:val="22"/>
              </w:rPr>
              <w:br/>
            </w: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2021 [4] BARANCOVÁ, H. Rozhodnutie zamestnávateľa o organizačnej zmene a obchodné vedenie spoločnosti. In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Societas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iurisprudentia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[online], roč. 9, č. 2, 2021, s. 28,38,40. ISSN 1339-5467. Dostupné na: &lt;http://sei.iuridica.truni.sk/archive/2021/02/SEI-2021-02-Studies-Barancova-Helena.pdf&gt;</w:t>
            </w:r>
            <w:r w:rsidRPr="00B3774D">
              <w:rPr>
                <w:rStyle w:val="scxw70156145"/>
                <w:rFonts w:asciiTheme="minorHAnsi" w:hAnsiTheme="minorHAnsi" w:cstheme="minorHAnsi"/>
                <w:color w:val="474747"/>
                <w:sz w:val="22"/>
                <w:szCs w:val="22"/>
              </w:rPr>
              <w:t> </w:t>
            </w:r>
            <w:r w:rsidRPr="00B3774D">
              <w:rPr>
                <w:rFonts w:asciiTheme="minorHAnsi" w:hAnsiTheme="minorHAnsi" w:cstheme="minorHAnsi"/>
                <w:color w:val="474747"/>
                <w:sz w:val="22"/>
                <w:szCs w:val="22"/>
              </w:rPr>
              <w:br/>
            </w: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2020 [4] JANÁČ, V. Kapitálový fond z príspevkov akcionárov. In Súkromné právo, roč. 6, č. 6, 2020, s. 242. ISSN 1339-8652. - Spôsob prístupu: </w:t>
            </w:r>
            <w:hyperlink r:id="rId24" w:tgtFrame="_blank" w:history="1">
              <w:r w:rsidRPr="00B3774D">
                <w:rPr>
                  <w:rStyle w:val="normaltextrun"/>
                  <w:rFonts w:asciiTheme="minorHAnsi" w:hAnsiTheme="minorHAnsi" w:cstheme="minorHAnsi"/>
                  <w:color w:val="F05E07"/>
                  <w:sz w:val="22"/>
                  <w:szCs w:val="22"/>
                  <w:u w:val="single"/>
                  <w:shd w:val="clear" w:color="auto" w:fill="FFFFFF"/>
                </w:rPr>
                <w:t>http://ukftp.truni.sk/epc/16664.pdf</w:t>
              </w:r>
            </w:hyperlink>
            <w:r w:rsidRPr="00B3774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 </w:t>
            </w:r>
            <w:r w:rsidRPr="00B3774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29AA28C" w14:textId="4250FF1E" w:rsidR="0066074D" w:rsidRPr="00CB01FF" w:rsidRDefault="0066074D" w:rsidP="0066074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3B46A17F" w14:textId="77777777" w:rsidTr="44E39FEE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038C017" w14:textId="561698F4" w:rsidR="00FF6B5A" w:rsidRPr="00CB01FF" w:rsidRDefault="00F0362C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lastRenderedPageBreak/>
              <w:t xml:space="preserve">Publikácia má výrazný vplyv na vedu práva obchodných spoločností, čo potvrdzuje jej značná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citovanosť</w:t>
            </w:r>
            <w:proofErr w:type="spellEnd"/>
            <w:r w:rsidR="00D423E1">
              <w:rPr>
                <w:rFonts w:eastAsia="Times New Roman" w:cstheme="minorHAnsi"/>
                <w:color w:val="000000"/>
                <w:lang w:eastAsia="sk-SK"/>
              </w:rPr>
              <w:t xml:space="preserve"> pomerne rýchlo po vydaní knihy. Stala sa referenčným dielom pre otázky korporačného práva na Slovensku, a to tak z pohľadu právnej doktríny, ako aj právnej praxe. </w:t>
            </w:r>
          </w:p>
          <w:p w14:paraId="7A6898CA" w14:textId="77777777" w:rsidR="0047355F" w:rsidRPr="00CB01FF" w:rsidRDefault="0047355F" w:rsidP="00073EC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CF12C8B" w14:textId="234B7614" w:rsidR="00CB01FF" w:rsidRPr="00CB01FF" w:rsidRDefault="00D423E1" w:rsidP="00CB01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had a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significant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impact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scholarship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evidenced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substantial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citation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quite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quickly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after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book's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lastRenderedPageBreak/>
              <w:t>publication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become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work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issues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Slovakia,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both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terms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doctrine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practice</w:t>
            </w:r>
            <w:proofErr w:type="spellEnd"/>
            <w:r w:rsidRPr="00D423E1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6B2AB384" w14:textId="77777777" w:rsidTr="44E39FEE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013BEE1" w14:textId="115BD096" w:rsidR="00FF6B5A" w:rsidRPr="00CB01FF" w:rsidRDefault="00615BB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Publikácia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sa využíva vo výučbe v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 xml:space="preserve"> druhom a treťom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stupni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 xml:space="preserve"> štúdia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, pri štúdiu 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>ob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>chodného práva a práva obchodných spoločností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>.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  <w:p w14:paraId="0D58BEEB" w14:textId="77777777" w:rsidR="00E620D5" w:rsidRPr="00CB01FF" w:rsidRDefault="00E620D5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27FF5BF8" w:rsidR="00E620D5" w:rsidRPr="00CB01FF" w:rsidRDefault="00F92527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second</w:t>
            </w:r>
            <w:proofErr w:type="spellEnd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level,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study of civil </w:t>
            </w:r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and </w:t>
            </w:r>
            <w:proofErr w:type="spellStart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5D0976C9" w14:textId="77777777" w:rsidTr="44E39FEE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6035B76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CC5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5B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170AE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0C2A" w14:textId="77777777" w:rsidR="00A545C2" w:rsidRDefault="00A545C2" w:rsidP="00816E73">
      <w:pPr>
        <w:spacing w:after="0" w:line="240" w:lineRule="auto"/>
      </w:pPr>
      <w:r>
        <w:separator/>
      </w:r>
    </w:p>
  </w:endnote>
  <w:endnote w:type="continuationSeparator" w:id="0">
    <w:p w14:paraId="6A057633" w14:textId="77777777" w:rsidR="00A545C2" w:rsidRDefault="00A545C2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8077" w14:textId="77777777" w:rsidR="00A545C2" w:rsidRDefault="00A545C2" w:rsidP="00816E73">
      <w:pPr>
        <w:spacing w:after="0" w:line="240" w:lineRule="auto"/>
      </w:pPr>
      <w:r>
        <w:separator/>
      </w:r>
    </w:p>
  </w:footnote>
  <w:footnote w:type="continuationSeparator" w:id="0">
    <w:p w14:paraId="3F8A223F" w14:textId="77777777" w:rsidR="00A545C2" w:rsidRDefault="00A545C2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8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62C05"/>
    <w:rsid w:val="00073EC9"/>
    <w:rsid w:val="0008088C"/>
    <w:rsid w:val="00087B3E"/>
    <w:rsid w:val="000C473D"/>
    <w:rsid w:val="000D326C"/>
    <w:rsid w:val="00102D82"/>
    <w:rsid w:val="00112F47"/>
    <w:rsid w:val="001A150C"/>
    <w:rsid w:val="001A42DD"/>
    <w:rsid w:val="001E5182"/>
    <w:rsid w:val="001F26CD"/>
    <w:rsid w:val="0022263F"/>
    <w:rsid w:val="00222794"/>
    <w:rsid w:val="00246CFD"/>
    <w:rsid w:val="00255867"/>
    <w:rsid w:val="00277187"/>
    <w:rsid w:val="003702C5"/>
    <w:rsid w:val="00377CBA"/>
    <w:rsid w:val="003C7698"/>
    <w:rsid w:val="00402A7B"/>
    <w:rsid w:val="004038BC"/>
    <w:rsid w:val="00422600"/>
    <w:rsid w:val="00433097"/>
    <w:rsid w:val="0047355F"/>
    <w:rsid w:val="004A4A06"/>
    <w:rsid w:val="004C347F"/>
    <w:rsid w:val="004D5CBD"/>
    <w:rsid w:val="004E364A"/>
    <w:rsid w:val="004E4845"/>
    <w:rsid w:val="004F0DCC"/>
    <w:rsid w:val="004F6F4A"/>
    <w:rsid w:val="00502F15"/>
    <w:rsid w:val="00532FE9"/>
    <w:rsid w:val="00546BD2"/>
    <w:rsid w:val="00555FFD"/>
    <w:rsid w:val="005622F0"/>
    <w:rsid w:val="00572798"/>
    <w:rsid w:val="005B4A19"/>
    <w:rsid w:val="0061127F"/>
    <w:rsid w:val="00615BB4"/>
    <w:rsid w:val="0066074D"/>
    <w:rsid w:val="00675F63"/>
    <w:rsid w:val="006849EB"/>
    <w:rsid w:val="006F6B13"/>
    <w:rsid w:val="00785AAB"/>
    <w:rsid w:val="008062B7"/>
    <w:rsid w:val="00816E73"/>
    <w:rsid w:val="00852916"/>
    <w:rsid w:val="00852CC7"/>
    <w:rsid w:val="008A692A"/>
    <w:rsid w:val="008B78D7"/>
    <w:rsid w:val="008D260A"/>
    <w:rsid w:val="008E2108"/>
    <w:rsid w:val="00942518"/>
    <w:rsid w:val="009547F9"/>
    <w:rsid w:val="00975300"/>
    <w:rsid w:val="00980601"/>
    <w:rsid w:val="00996838"/>
    <w:rsid w:val="009B1D30"/>
    <w:rsid w:val="009B6DDF"/>
    <w:rsid w:val="009C64D6"/>
    <w:rsid w:val="00A23768"/>
    <w:rsid w:val="00A455BA"/>
    <w:rsid w:val="00A545C2"/>
    <w:rsid w:val="00AE36B5"/>
    <w:rsid w:val="00B15040"/>
    <w:rsid w:val="00B22EA0"/>
    <w:rsid w:val="00B2322B"/>
    <w:rsid w:val="00BA1526"/>
    <w:rsid w:val="00BD4E6B"/>
    <w:rsid w:val="00C01D1D"/>
    <w:rsid w:val="00C029D7"/>
    <w:rsid w:val="00C25E50"/>
    <w:rsid w:val="00C40D4D"/>
    <w:rsid w:val="00C63E2F"/>
    <w:rsid w:val="00C86832"/>
    <w:rsid w:val="00CB01FF"/>
    <w:rsid w:val="00CE5D14"/>
    <w:rsid w:val="00D423E1"/>
    <w:rsid w:val="00D64B7C"/>
    <w:rsid w:val="00D733AB"/>
    <w:rsid w:val="00DB2771"/>
    <w:rsid w:val="00DF18D4"/>
    <w:rsid w:val="00DF77E6"/>
    <w:rsid w:val="00E620D5"/>
    <w:rsid w:val="00E835FB"/>
    <w:rsid w:val="00EA434E"/>
    <w:rsid w:val="00EC403D"/>
    <w:rsid w:val="00F0362C"/>
    <w:rsid w:val="00F40F87"/>
    <w:rsid w:val="00F4411C"/>
    <w:rsid w:val="00F83BCB"/>
    <w:rsid w:val="00F92527"/>
    <w:rsid w:val="00FC5E34"/>
    <w:rsid w:val="00FE27EC"/>
    <w:rsid w:val="00FF4276"/>
    <w:rsid w:val="00FF6B5A"/>
    <w:rsid w:val="01BAC9A9"/>
    <w:rsid w:val="44E3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  <w:style w:type="character" w:customStyle="1" w:styleId="bcx2">
    <w:name w:val="bcx2"/>
    <w:basedOn w:val="Predvolenpsmoodseku"/>
    <w:rsid w:val="00402A7B"/>
  </w:style>
  <w:style w:type="character" w:customStyle="1" w:styleId="scxw70156145">
    <w:name w:val="scxw70156145"/>
    <w:basedOn w:val="Predvolenpsmoodseku"/>
    <w:rsid w:val="00F0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yperlink" Target="http://ukftp.truni.sk/epc/1666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02F31-D81B-4441-859D-F9E05F6A7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ED177-7BAF-4076-9F93-A8E219FF9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00D16C-E851-4727-B01A-8551C080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1688</Words>
  <Characters>9624</Characters>
  <Application>Microsoft Office Word</Application>
  <DocSecurity>0</DocSecurity>
  <Lines>80</Lines>
  <Paragraphs>22</Paragraphs>
  <ScaleCrop>false</ScaleCrop>
  <Company>Trnavska univerzita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11</cp:revision>
  <dcterms:created xsi:type="dcterms:W3CDTF">2022-01-17T20:11:00Z</dcterms:created>
  <dcterms:modified xsi:type="dcterms:W3CDTF">2025-11-04T12:33:00Z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