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3"/>
        <w:gridCol w:w="2120"/>
        <w:gridCol w:w="7224"/>
      </w:tblGrid>
      <w:tr w:rsidR="00FF6B5A" w:rsidRPr="00FF6B5A" w14:paraId="38D0CD8E" w14:textId="77777777" w:rsidTr="5F33A05F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06684C6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75A3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BD6A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4792A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F6ED05" w14:textId="77777777" w:rsidTr="5F33A05F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3D6A9AB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3DBE98C1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724038A" w14:textId="77777777" w:rsidTr="5F33A05F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2EFA88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219A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03B92B4F" w14:textId="77777777" w:rsidTr="5F33A05F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4BA8ADA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AEEC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745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53463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D5473D5" w14:textId="77777777" w:rsidTr="5F33A05F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71BF372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4FB4FC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D274F5F" w14:textId="77777777" w:rsidTr="5F33A05F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BECA74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0D9C3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50B7CF3D" w14:textId="77777777" w:rsidTr="5F33A05F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481CD1E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D04A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3E1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35317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7F923D2" w14:textId="77777777" w:rsidTr="5F33A05F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369640A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B63A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A6A7906" w14:textId="77777777" w:rsidR="00FF6B5A" w:rsidRPr="00FF6B5A" w:rsidRDefault="00DE5CE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1B1AAF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240110FC" w14:textId="77777777" w:rsidTr="5F33A05F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1BDFF17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EB18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752D5F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68AF313E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6649BE5D" w14:textId="77777777" w:rsidTr="5F33A05F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57F557E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945C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5CFF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78CC7D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FF6B5A" w:rsidRPr="00FF6B5A" w14:paraId="0D462BED" w14:textId="77777777" w:rsidTr="5F33A05F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3618D64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E1D349" w14:textId="77777777" w:rsidR="00FF6B5A" w:rsidRPr="00FF6B5A" w:rsidRDefault="00DE5CE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7F7381C4" w14:textId="7D3EAB4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proofErr w:type="spellStart"/>
            <w:r w:rsidR="00FC5E34">
              <w:rPr>
                <w:rFonts w:eastAsia="Times New Roman" w:cstheme="minorHAnsi"/>
                <w:color w:val="000000"/>
                <w:lang w:eastAsia="sk-SK"/>
              </w:rPr>
              <w:t>Ž</w:t>
            </w:r>
            <w:r w:rsidR="00FC5E34">
              <w:rPr>
                <w:rFonts w:eastAsia="Times New Roman"/>
                <w:color w:val="000000"/>
                <w:lang w:eastAsia="sk-SK"/>
              </w:rPr>
              <w:t>itňanská</w:t>
            </w:r>
            <w:proofErr w:type="spellEnd"/>
          </w:p>
        </w:tc>
      </w:tr>
      <w:tr w:rsidR="00FF6B5A" w:rsidRPr="00FF6B5A" w14:paraId="0B0CB2B5" w14:textId="77777777" w:rsidTr="5F33A05F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580FCF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AAA274" w14:textId="77777777" w:rsidR="00FF6B5A" w:rsidRPr="00FF6B5A" w:rsidRDefault="00DE5CE0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A2726EA" w14:textId="3A8476C2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FC5E34">
              <w:rPr>
                <w:rFonts w:eastAsia="Times New Roman" w:cstheme="minorHAnsi"/>
                <w:color w:val="000000"/>
                <w:lang w:eastAsia="sk-SK"/>
              </w:rPr>
              <w:t>L</w:t>
            </w:r>
            <w:r w:rsidR="00FC5E34">
              <w:rPr>
                <w:rFonts w:eastAsia="Times New Roman"/>
                <w:color w:val="000000"/>
                <w:lang w:eastAsia="sk-SK"/>
              </w:rPr>
              <w:t>ucia</w:t>
            </w:r>
          </w:p>
        </w:tc>
      </w:tr>
      <w:tr w:rsidR="00FF6B5A" w:rsidRPr="00FF6B5A" w14:paraId="04319611" w14:textId="77777777" w:rsidTr="5F33A05F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130791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BA2F938" w14:textId="77777777" w:rsidR="00FF6B5A" w:rsidRPr="00FF6B5A" w:rsidRDefault="00DE5CE0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3FAF36" w14:textId="1B4992C4" w:rsidR="00FF6B5A" w:rsidRPr="00CB01FF" w:rsidRDefault="00FC5E3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D</w:t>
            </w:r>
            <w:r>
              <w:rPr>
                <w:rFonts w:eastAsia="Times New Roman"/>
                <w:color w:val="000000"/>
                <w:lang w:eastAsia="sk-SK"/>
              </w:rPr>
              <w:t>oc. JUDr. PhD.</w:t>
            </w:r>
            <w:r w:rsidR="000C473D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</w:tr>
      <w:tr w:rsidR="00FF6B5A" w:rsidRPr="00FF6B5A" w14:paraId="56709914" w14:textId="77777777" w:rsidTr="5F33A05F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56CFE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673E1CA" w14:textId="77777777" w:rsidR="00FF6B5A" w:rsidRPr="00FF6B5A" w:rsidRDefault="00DE5CE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0B7CAEFF" w14:textId="53E34D7D" w:rsidR="000C473D" w:rsidRPr="00CB01FF" w:rsidRDefault="00433097" w:rsidP="000C473D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  <w:r w:rsidRPr="00433097">
              <w:rPr>
                <w:rFonts w:eastAsia="Times New Roman" w:cstheme="minorHAnsi"/>
                <w:iCs/>
                <w:color w:val="000000"/>
                <w:lang w:eastAsia="sk-SK"/>
              </w:rPr>
              <w:t>https://www.portalvs.sk/regzam/detail/11950</w:t>
            </w:r>
          </w:p>
          <w:p w14:paraId="26A9AD78" w14:textId="4952171F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4D19C3C" w14:textId="77777777" w:rsidTr="5F33A05F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8AD6E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082922F" w14:textId="77777777" w:rsidR="00FF6B5A" w:rsidRPr="00FF6B5A" w:rsidRDefault="00DE5CE0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5C2F11FA" w14:textId="6B1C85B6" w:rsidR="00FF6B5A" w:rsidRPr="00CB01FF" w:rsidRDefault="00FF6B5A" w:rsidP="00422600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lang w:eastAsia="sk-SK"/>
              </w:rPr>
              <w:t> </w:t>
            </w:r>
            <w:r w:rsidR="00DE5CE0" w:rsidRPr="00CB01FF">
              <w:rPr>
                <w:rFonts w:eastAsia="Times New Roman" w:cstheme="minorHAnsi"/>
                <w:lang w:eastAsia="sk-SK"/>
              </w:rPr>
              <w:t> </w:t>
            </w:r>
            <w:r w:rsidR="00DE5CE0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DE5CE0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DE5CE0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8E2108" w:rsidRPr="00FF6B5A" w14:paraId="5AE22338" w14:textId="77777777" w:rsidTr="5F33A05F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4863594D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2665BEF5" w14:textId="5708E1ED" w:rsidR="008E2108" w:rsidRDefault="2BD23331" w:rsidP="5F33A05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F33A05F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285B8AA2" w14:textId="746C12E0" w:rsidR="008E2108" w:rsidRPr="00CB01FF" w:rsidRDefault="00CE5D1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A</w:t>
            </w:r>
            <w:r w:rsidR="00326AFB">
              <w:rPr>
                <w:rFonts w:eastAsia="Times New Roman" w:cstheme="minorHAnsi"/>
                <w:color w:val="000000"/>
                <w:lang w:eastAsia="sk-SK"/>
              </w:rPr>
              <w:t>-</w:t>
            </w:r>
          </w:p>
        </w:tc>
      </w:tr>
      <w:tr w:rsidR="00FF6B5A" w:rsidRPr="00FF6B5A" w14:paraId="2755EA2A" w14:textId="77777777" w:rsidTr="5F33A05F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06E084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840DCC6" w14:textId="77777777" w:rsidR="00FF6B5A" w:rsidRDefault="00DE5CE0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3B623BE5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42A0A139" w14:textId="742BCB0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B0F0"/>
                <w:lang w:eastAsia="sk-SK"/>
              </w:rPr>
            </w:pPr>
            <w:r w:rsidRPr="00CB01FF">
              <w:rPr>
                <w:rFonts w:eastAsia="Times New Roman" w:cstheme="minorHAnsi"/>
                <w:i/>
                <w:iCs/>
                <w:lang w:eastAsia="sk-SK"/>
              </w:rPr>
              <w:lastRenderedPageBreak/>
              <w:t> </w:t>
            </w:r>
            <w:r w:rsidR="00942518" w:rsidRPr="00CB01FF">
              <w:rPr>
                <w:rFonts w:eastAsia="Times New Roman" w:cstheme="minorHAnsi"/>
                <w:b/>
                <w:color w:val="000000"/>
                <w:lang w:eastAsia="sk-SK"/>
              </w:rPr>
              <w:t>vedecký výstup</w:t>
            </w:r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/ </w:t>
            </w:r>
            <w:proofErr w:type="spellStart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>scientific</w:t>
            </w:r>
            <w:proofErr w:type="spellEnd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output</w:t>
            </w:r>
          </w:p>
        </w:tc>
      </w:tr>
      <w:tr w:rsidR="00FF6B5A" w:rsidRPr="00FF6B5A" w14:paraId="5CF1856E" w14:textId="77777777" w:rsidTr="5F33A05F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6051AA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CDC913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24BC0AA8" w14:textId="3265328A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CE5D14" w:rsidRPr="00CB01FF">
              <w:rPr>
                <w:rFonts w:eastAsia="Times New Roman" w:cstheme="minorHAnsi"/>
                <w:color w:val="000000"/>
                <w:lang w:eastAsia="sk-SK"/>
              </w:rPr>
              <w:t>20</w:t>
            </w:r>
            <w:r w:rsidR="00E55886">
              <w:rPr>
                <w:rFonts w:eastAsia="Times New Roman" w:cstheme="minorHAnsi"/>
                <w:color w:val="000000"/>
                <w:lang w:eastAsia="sk-SK"/>
              </w:rPr>
              <w:t>19</w:t>
            </w:r>
          </w:p>
        </w:tc>
      </w:tr>
      <w:tr w:rsidR="00FF6B5A" w:rsidRPr="00FF6B5A" w14:paraId="70C2F838" w14:textId="77777777" w:rsidTr="5F33A05F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898A1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28620AE" w14:textId="77777777" w:rsidR="00FF6B5A" w:rsidRPr="00FF6B5A" w:rsidRDefault="00DE5CE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710040AD" w14:textId="77777777" w:rsidR="00E55886" w:rsidRPr="00B3774D" w:rsidRDefault="00E55886" w:rsidP="00E5588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ID: 132598 | </w:t>
            </w:r>
            <w:r w:rsidRPr="00B3774D">
              <w:rPr>
                <w:rStyle w:val="Vraz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Zodpovednosť člena štatutárneho orgánu kapitálovej obchodnej spoločnosti a návrh zmeny zodpovednostného systému v súkromnom práve</w:t>
            </w:r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Responsibility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of a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member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statutory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body of a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limited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liability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proposed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amendments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responsibility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private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law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Žitňanská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, Lucia [Autor, 100%]. – [recenzované] </w:t>
            </w:r>
            <w:r w:rsidRPr="00B3774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In: </w:t>
            </w:r>
            <w:r w:rsidRPr="00B377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Právny obzor</w:t>
            </w:r>
            <w:r w:rsidRPr="00B3774D">
              <w:rPr>
                <w:rFonts w:asciiTheme="minorHAnsi" w:hAnsiTheme="minorHAnsi" w:cstheme="minorHAnsi"/>
                <w:sz w:val="22"/>
                <w:szCs w:val="22"/>
              </w:rPr>
              <w:t xml:space="preserve"> [textový dokument (</w:t>
            </w:r>
            <w:proofErr w:type="spellStart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print</w:t>
            </w:r>
            <w:proofErr w:type="spellEnd"/>
            <w:r w:rsidRPr="00B3774D">
              <w:rPr>
                <w:rFonts w:asciiTheme="minorHAnsi" w:hAnsiTheme="minorHAnsi" w:cstheme="minorHAnsi"/>
                <w:sz w:val="22"/>
                <w:szCs w:val="22"/>
              </w:rPr>
              <w:t>)] : teoretický časopis pre otázky štátu a práva. – Bratislava (Slovensko) : Slovenská akadémia vied. Pracoviská SAV. Ústav štátu a práva SAV. – ISSN 0032-6984. – TUTPR signatúra E003589. – Roč. 102, č. 3 (2019), s. 266-283 [tlačená forma]</w:t>
            </w:r>
          </w:p>
          <w:p w14:paraId="7EA0900B" w14:textId="1CA6C09E" w:rsidR="00422600" w:rsidRPr="00CB01FF" w:rsidRDefault="00422600" w:rsidP="00EA434E">
            <w:pPr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7043AB98" w14:textId="77777777" w:rsidTr="5F33A05F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02B970D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F2B6CC9" w14:textId="77777777" w:rsidR="00FF6B5A" w:rsidRPr="00FF6B5A" w:rsidRDefault="00DE5CE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</w:tcPr>
          <w:p w14:paraId="5FF90BB9" w14:textId="11DEC944" w:rsidR="00FF6B5A" w:rsidRPr="00CB01FF" w:rsidRDefault="00E55886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55886">
              <w:rPr>
                <w:rFonts w:cstheme="minorHAnsi"/>
              </w:rPr>
              <w:t>https://app.crepc.sk/?fn=detailBiblioForm&amp;sid=43610966F6A9DADEAB390DD63E</w:t>
            </w:r>
          </w:p>
        </w:tc>
      </w:tr>
      <w:tr w:rsidR="00C86832" w:rsidRPr="00FF6B5A" w14:paraId="21498929" w14:textId="77777777" w:rsidTr="5F33A05F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6F1ADBEE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74742115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6262AED" w14:textId="77777777" w:rsidR="00C86832" w:rsidRPr="00CB01FF" w:rsidRDefault="00C86832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6BA9D2A2" w14:textId="77777777" w:rsidTr="5F33A05F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1D1FB3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429918C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9C19DA6" w14:textId="77777777" w:rsidR="00FF6B5A" w:rsidRPr="00FF6B5A" w:rsidRDefault="00DE5CE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03C9B177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51BFBC80" w14:textId="77777777" w:rsidTr="5F33A05F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D0277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B8038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86CD7C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29E661A" w14:textId="0E8964E9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1DD2128C" w14:textId="77777777" w:rsidTr="5F33A05F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43AF58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D5F8A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3B2189C" w14:textId="77777777" w:rsidR="00FF6B5A" w:rsidRPr="00CB01FF" w:rsidRDefault="00DE5CE0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</w:tcPr>
          <w:p w14:paraId="6266D3A3" w14:textId="0E755BC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</w:p>
        </w:tc>
      </w:tr>
      <w:tr w:rsidR="00FF6B5A" w:rsidRPr="00FF6B5A" w14:paraId="3994E767" w14:textId="77777777" w:rsidTr="5F33A05F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1F1E41C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CE3C9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0F864A0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2438FED5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F6B5A" w:rsidRPr="00FF6B5A" w14:paraId="49B38A92" w14:textId="77777777" w:rsidTr="5F33A05F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07E32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70FC1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D8472C6" w14:textId="77777777" w:rsidR="00FF6B5A" w:rsidRPr="00CB01FF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33DD09" w14:textId="50A65586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F6B5A" w:rsidRPr="00FF6B5A" w14:paraId="270C6842" w14:textId="77777777" w:rsidTr="5F33A05F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7D7D6E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5B7FC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1740FF49" w14:textId="77777777" w:rsidR="00FF6B5A" w:rsidRPr="00CB01FF" w:rsidRDefault="00DE5CE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CB01FF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othe</w:t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 w:rsidRPr="00CB01FF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CB01FF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D13AE23" w14:textId="7728C216" w:rsidR="00422600" w:rsidRPr="00C25E50" w:rsidRDefault="00422600" w:rsidP="004F6F4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</w:p>
        </w:tc>
      </w:tr>
      <w:tr w:rsidR="00FF6B5A" w:rsidRPr="00FF6B5A" w14:paraId="0E3A4A1E" w14:textId="77777777" w:rsidTr="5F33A05F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220863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CCB09B" w14:textId="77777777" w:rsidR="00FF6B5A" w:rsidRPr="00FF6B5A" w:rsidRDefault="00DE5CE0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</w:tcPr>
          <w:p w14:paraId="45D4C299" w14:textId="31F1D4E0" w:rsidR="00422600" w:rsidRPr="00CB01FF" w:rsidRDefault="00FF5820" w:rsidP="004F6F4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paper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deals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with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fundamental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theoretical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issues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damage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caused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members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bodies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a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commercial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company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responds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recodification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proposal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given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regulation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follows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discourse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Germany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Austria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Czech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Republic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compares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possibilities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contractual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non-contractual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regulation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relationship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author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argues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separate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regulation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which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would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linked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contractual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(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internal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) and tort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(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external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bankruptcy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). He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also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highlights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elements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legislation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are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necessary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have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incentive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effect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in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particular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procedural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context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appropriate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allocation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burden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proof</w:t>
            </w:r>
            <w:proofErr w:type="spellEnd"/>
            <w:r w:rsidRPr="00FF5820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</w:p>
        </w:tc>
      </w:tr>
      <w:tr w:rsidR="00FF6B5A" w:rsidRPr="00FF6B5A" w14:paraId="715A9106" w14:textId="77777777" w:rsidTr="5F33A05F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D3A0EE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75AA1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1AC0A7C" w14:textId="09B2AAAD" w:rsidR="0066074D" w:rsidRPr="00CB01FF" w:rsidRDefault="00E55886" w:rsidP="21689322">
            <w:pPr>
              <w:spacing w:after="0" w:line="240" w:lineRule="auto"/>
              <w:rPr>
                <w:rStyle w:val="scxw128497460"/>
              </w:rPr>
            </w:pPr>
            <w:r w:rsidRPr="21689322">
              <w:rPr>
                <w:rStyle w:val="normaltextrun"/>
                <w:shd w:val="clear" w:color="auto" w:fill="FFFFFF"/>
              </w:rPr>
              <w:t xml:space="preserve">2020 [3] POBIJAK, T. Preukazovanie dobrej viery člena štatutárneho orgánu v sporoch o náhradu škody. In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Lavický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, P. -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Holas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, J. -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Valdhans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>, J. (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eds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.) Dny práva 2019 -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Days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of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law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2019.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Část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6 [online]. Brno : Masarykova univerzita, 2020, s. 62,69. ISBN 978-80-210-9720-9. Dostupné na: &lt;http://www.dnyprava.cz/dokumenty/53530&gt;</w:t>
            </w:r>
            <w:r w:rsidRPr="21689322">
              <w:rPr>
                <w:rStyle w:val="scxw128497460"/>
              </w:rPr>
              <w:t> </w:t>
            </w:r>
            <w:r w:rsidRPr="00B3774D">
              <w:rPr>
                <w:rFonts w:cstheme="minorHAnsi"/>
                <w:color w:val="474747"/>
              </w:rPr>
              <w:br/>
            </w:r>
            <w:r w:rsidRPr="21689322">
              <w:rPr>
                <w:rStyle w:val="normaltextrun"/>
                <w:shd w:val="clear" w:color="auto" w:fill="FFFFFF"/>
              </w:rPr>
              <w:t xml:space="preserve">2020 [3] TROJČÁKOVÁ, V. Pričítanie protiprávneho konania inému, účastníctvo na delikte a solidárna zodpovednosť z pohľadu súkromného práva. In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Havel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, B. – </w:t>
            </w:r>
            <w:proofErr w:type="spellStart"/>
            <w:r w:rsidRPr="21689322">
              <w:rPr>
                <w:rStyle w:val="normaltextrun"/>
                <w:shd w:val="clear" w:color="auto" w:fill="FFFFFF"/>
              </w:rPr>
              <w:t>Žitňanská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>, L. (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eds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.)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Fiduciární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povinnosti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orgánů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společnosti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na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pomezí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korporačního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,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insolvenčního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a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trestního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práva. Praha :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Wolters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Kluwer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ČR, 2020, s. 234,253. ISBN 978-80-7598-892-8</w:t>
            </w:r>
            <w:r w:rsidRPr="21689322">
              <w:rPr>
                <w:rStyle w:val="scxw128497460"/>
              </w:rPr>
              <w:t> </w:t>
            </w:r>
            <w:r w:rsidRPr="00B3774D">
              <w:rPr>
                <w:rFonts w:cstheme="minorHAnsi"/>
                <w:color w:val="474747"/>
              </w:rPr>
              <w:br/>
            </w:r>
            <w:r w:rsidRPr="21689322">
              <w:rPr>
                <w:rStyle w:val="normaltextrun"/>
                <w:shd w:val="clear" w:color="auto" w:fill="FFFFFF"/>
              </w:rPr>
              <w:t xml:space="preserve">2020 [3] PATAKYOVÁ, M . Odborná starostlivosť člena orgánu z pohľadu korporačného a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insolvenčného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práva SR – systém a kazuistika. In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Havel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, B. – </w:t>
            </w:r>
            <w:proofErr w:type="spellStart"/>
            <w:r w:rsidRPr="21689322">
              <w:rPr>
                <w:rStyle w:val="normaltextrun"/>
                <w:shd w:val="clear" w:color="auto" w:fill="FFFFFF"/>
              </w:rPr>
              <w:t>Žitňanská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>, L. (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eds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.)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Fiduciární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povinnosti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orgánů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společnosti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na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pomezí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korporačního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,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insolvenčního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a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trestního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práva. Praha :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Wolters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</w:t>
            </w:r>
            <w:proofErr w:type="spellStart"/>
            <w:r w:rsidRPr="21689322">
              <w:rPr>
                <w:rStyle w:val="spellingerror"/>
                <w:shd w:val="clear" w:color="auto" w:fill="FFFFFF"/>
              </w:rPr>
              <w:t>Kluwer</w:t>
            </w:r>
            <w:proofErr w:type="spellEnd"/>
            <w:r w:rsidRPr="21689322">
              <w:rPr>
                <w:rStyle w:val="normaltextrun"/>
                <w:shd w:val="clear" w:color="auto" w:fill="FFFFFF"/>
              </w:rPr>
              <w:t xml:space="preserve"> ČR, 2020, s. 7,8,253. ISBN 978-80-7598-892-8</w:t>
            </w:r>
            <w:r w:rsidRPr="21689322">
              <w:rPr>
                <w:rStyle w:val="scxw128497460"/>
              </w:rPr>
              <w:t> </w:t>
            </w:r>
            <w:r w:rsidRPr="00B3774D">
              <w:rPr>
                <w:rFonts w:cstheme="minorHAnsi"/>
                <w:color w:val="474747"/>
              </w:rPr>
              <w:br/>
            </w:r>
            <w:r w:rsidRPr="21689322">
              <w:rPr>
                <w:rStyle w:val="normaltextrun"/>
                <w:shd w:val="clear" w:color="auto" w:fill="FFFFFF"/>
              </w:rPr>
              <w:t>2020 [4] POBIJAK, T. Obrátené dôkazné bremeno v civilnom sporovom konaní. In Justičná revue, roč. 72, č. 12, s. 1492,1499. ISSN 1335-6461</w:t>
            </w:r>
            <w:r w:rsidRPr="21689322">
              <w:rPr>
                <w:rStyle w:val="scxw128497460"/>
              </w:rPr>
              <w:t> </w:t>
            </w:r>
          </w:p>
          <w:p w14:paraId="329AA28C" w14:textId="2FAC3082" w:rsidR="0066074D" w:rsidRPr="00CB01FF" w:rsidRDefault="58523065" w:rsidP="2168932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1689322">
              <w:rPr>
                <w:rFonts w:ascii="Calibri" w:eastAsia="Calibri" w:hAnsi="Calibri" w:cs="Calibri"/>
              </w:rPr>
              <w:t>2019 [4] CSACH, K. Povinnosti členov orgánov obchodnej spoločnosti a súkromnoprávne následky ich porušenia. (1. časť). In Súkromné právo, roč. 5, č. 5, 2019, s. 182. ISSN 1339-8652</w:t>
            </w:r>
          </w:p>
        </w:tc>
      </w:tr>
      <w:tr w:rsidR="00FF6B5A" w:rsidRPr="00FF6B5A" w14:paraId="3B46A17F" w14:textId="77777777" w:rsidTr="5F33A05F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A7A8D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AA311D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lastRenderedPageBreak/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038C017" w14:textId="79F20B61" w:rsidR="00FF6B5A" w:rsidRPr="00CB01FF" w:rsidRDefault="00F617A3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lastRenderedPageBreak/>
              <w:t>Význam príspevku spočíva v zasadení zodpovednosti člena orgánov do systému zmluvnej a mimozmluvnej zodpovednosti za škodu. Príspevok</w:t>
            </w:r>
            <w:r w:rsidR="00F0362C">
              <w:rPr>
                <w:rFonts w:eastAsia="Times New Roman" w:cstheme="minorHAnsi"/>
                <w:color w:val="000000"/>
                <w:lang w:eastAsia="sk-SK"/>
              </w:rPr>
              <w:t xml:space="preserve"> má výrazný vplyv na vedu práva obchodných spoločností, čo potvrdzuje jej značná </w:t>
            </w:r>
            <w:proofErr w:type="spellStart"/>
            <w:r w:rsidR="00F0362C">
              <w:rPr>
                <w:rFonts w:eastAsia="Times New Roman" w:cstheme="minorHAnsi"/>
                <w:color w:val="000000"/>
                <w:lang w:eastAsia="sk-SK"/>
              </w:rPr>
              <w:t>citovanosť</w:t>
            </w:r>
            <w:proofErr w:type="spellEnd"/>
            <w:r w:rsidR="00D423E1">
              <w:rPr>
                <w:rFonts w:eastAsia="Times New Roman" w:cstheme="minorHAnsi"/>
                <w:color w:val="000000"/>
                <w:lang w:eastAsia="sk-SK"/>
              </w:rPr>
              <w:t xml:space="preserve"> pomerne rýchlo po vydaní </w:t>
            </w:r>
            <w:r w:rsidR="00E55886">
              <w:rPr>
                <w:rFonts w:eastAsia="Times New Roman" w:cstheme="minorHAnsi"/>
                <w:color w:val="000000"/>
                <w:lang w:eastAsia="sk-SK"/>
              </w:rPr>
              <w:t>článku</w:t>
            </w:r>
            <w:r w:rsidR="00D423E1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r w:rsidR="00E55886">
              <w:rPr>
                <w:rFonts w:eastAsia="Times New Roman" w:cstheme="minorHAnsi"/>
                <w:color w:val="000000"/>
                <w:lang w:eastAsia="sk-SK"/>
              </w:rPr>
              <w:t xml:space="preserve">Zásadný vplyv má aj na rekodifikáciu slovenského práva obchodných spoločností, a to najmä tým, že sa venuje </w:t>
            </w:r>
            <w:r w:rsidR="00E55886">
              <w:rPr>
                <w:rFonts w:eastAsia="Times New Roman" w:cstheme="minorHAnsi"/>
                <w:color w:val="000000"/>
                <w:lang w:eastAsia="sk-SK"/>
              </w:rPr>
              <w:lastRenderedPageBreak/>
              <w:t>koncepčnému zasadeniu zodpovednosti medzi zmluvnú a </w:t>
            </w:r>
            <w:proofErr w:type="spellStart"/>
            <w:r w:rsidR="00E55886">
              <w:rPr>
                <w:rFonts w:eastAsia="Times New Roman" w:cstheme="minorHAnsi"/>
                <w:color w:val="000000"/>
                <w:lang w:eastAsia="sk-SK"/>
              </w:rPr>
              <w:t>deliktnú</w:t>
            </w:r>
            <w:proofErr w:type="spellEnd"/>
            <w:r w:rsidR="00E55886">
              <w:rPr>
                <w:rFonts w:eastAsia="Times New Roman" w:cstheme="minorHAnsi"/>
                <w:color w:val="000000"/>
                <w:lang w:eastAsia="sk-SK"/>
              </w:rPr>
              <w:t xml:space="preserve"> zodpovednosť. </w:t>
            </w:r>
          </w:p>
          <w:p w14:paraId="7A6898CA" w14:textId="77777777" w:rsidR="0047355F" w:rsidRPr="00CB01FF" w:rsidRDefault="0047355F" w:rsidP="00073EC9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CF12C8B" w14:textId="0CC84ED8" w:rsidR="00CB01FF" w:rsidRPr="00CB01FF" w:rsidRDefault="00F617A3" w:rsidP="00CB01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significance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paper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lies in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situating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a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member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organs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system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contractual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non-contractual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damages</w:t>
            </w:r>
            <w:proofErr w:type="spellEnd"/>
            <w:r w:rsidRPr="00F617A3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has had a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significant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impact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on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scholarship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as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evidenced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its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substantial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citation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rate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relatively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quickly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after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article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was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published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has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also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had a major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impact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on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recodification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Slovak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especially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that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addresses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conceptual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positioning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between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contractual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tort </w:t>
            </w:r>
            <w:proofErr w:type="spellStart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liability</w:t>
            </w:r>
            <w:proofErr w:type="spellEnd"/>
            <w:r w:rsidR="00E55886" w:rsidRPr="00E5588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F6B5A" w:rsidRPr="00FF6B5A" w14:paraId="6B2AB384" w14:textId="77777777" w:rsidTr="5F33A05F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E46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7BC6F94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013BEE1" w14:textId="26018FA9" w:rsidR="00FF6B5A" w:rsidRPr="00CB01FF" w:rsidRDefault="00615BB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Publikácia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>sa využíva vo výučbe v</w:t>
            </w:r>
            <w:r w:rsidR="0061127F">
              <w:rPr>
                <w:rFonts w:eastAsia="Times New Roman" w:cstheme="minorHAnsi"/>
                <w:color w:val="000000"/>
                <w:lang w:eastAsia="sk-SK"/>
              </w:rPr>
              <w:t xml:space="preserve"> treťom 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>stupni</w:t>
            </w:r>
            <w:r w:rsidR="0061127F">
              <w:rPr>
                <w:rFonts w:eastAsia="Times New Roman" w:cstheme="minorHAnsi"/>
                <w:color w:val="000000"/>
                <w:lang w:eastAsia="sk-SK"/>
              </w:rPr>
              <w:t xml:space="preserve"> štúdia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, pri štúdiu 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>ob</w:t>
            </w:r>
            <w:r w:rsidR="0061127F">
              <w:rPr>
                <w:rFonts w:eastAsia="Times New Roman" w:cstheme="minorHAnsi"/>
                <w:color w:val="000000"/>
                <w:lang w:eastAsia="sk-SK"/>
              </w:rPr>
              <w:t>chodného práva</w:t>
            </w:r>
            <w:r w:rsidR="00A25FD6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r w:rsidR="0061127F">
              <w:rPr>
                <w:rFonts w:eastAsia="Times New Roman" w:cstheme="minorHAnsi"/>
                <w:color w:val="000000"/>
                <w:lang w:eastAsia="sk-SK"/>
              </w:rPr>
              <w:t>práva obchodných spoločností</w:t>
            </w:r>
            <w:r w:rsidR="00A25FD6">
              <w:rPr>
                <w:rFonts w:eastAsia="Times New Roman" w:cstheme="minorHAnsi"/>
                <w:color w:val="000000"/>
                <w:lang w:eastAsia="sk-SK"/>
              </w:rPr>
              <w:t xml:space="preserve"> a právnických osôb súkromného práva</w:t>
            </w:r>
            <w:r w:rsidR="00F92527" w:rsidRPr="00CB01FF">
              <w:rPr>
                <w:rFonts w:eastAsia="Times New Roman" w:cstheme="minorHAnsi"/>
                <w:color w:val="000000"/>
                <w:lang w:eastAsia="sk-SK"/>
              </w:rPr>
              <w:t>.</w:t>
            </w: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  <w:p w14:paraId="0D58BEEB" w14:textId="77777777" w:rsidR="00E620D5" w:rsidRPr="00CB01FF" w:rsidRDefault="00E620D5" w:rsidP="00E620D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56C75B" w14:textId="205E372B" w:rsidR="00E620D5" w:rsidRPr="00CB01FF" w:rsidRDefault="00F92527" w:rsidP="00E620D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teaching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second</w:t>
            </w:r>
            <w:proofErr w:type="spellEnd"/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third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level, in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study of civil </w:t>
            </w:r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and </w:t>
            </w:r>
            <w:proofErr w:type="spellStart"/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corporate</w:t>
            </w:r>
            <w:proofErr w:type="spellEnd"/>
            <w:r w:rsidR="0061127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of </w:t>
            </w:r>
            <w:proofErr w:type="spellStart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persons</w:t>
            </w:r>
            <w:proofErr w:type="spellEnd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private</w:t>
            </w:r>
            <w:proofErr w:type="spellEnd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="00A25FD6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F6B5A" w:rsidRPr="00FF6B5A" w14:paraId="5D0976C9" w14:textId="77777777" w:rsidTr="5F33A05F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6035B76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9CC5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15BA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6170AE3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B61A49D" w14:textId="27FEC052" w:rsidR="003C7698" w:rsidRDefault="003C7698" w:rsidP="00CB01FF"/>
    <w:sectPr w:rsidR="003C7698" w:rsidSect="008E210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6546" w14:textId="77777777" w:rsidR="00672485" w:rsidRDefault="00672485" w:rsidP="00816E73">
      <w:pPr>
        <w:spacing w:after="0" w:line="240" w:lineRule="auto"/>
      </w:pPr>
      <w:r>
        <w:separator/>
      </w:r>
    </w:p>
  </w:endnote>
  <w:endnote w:type="continuationSeparator" w:id="0">
    <w:p w14:paraId="0040787C" w14:textId="77777777" w:rsidR="00672485" w:rsidRDefault="00672485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7713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F9F0" w14:textId="77777777" w:rsidR="00A23768" w:rsidRDefault="00A23768">
    <w:pPr>
      <w:pStyle w:val="Pta"/>
    </w:pPr>
    <w:r w:rsidRPr="00A23768">
      <w:t>T_Z_VTCAj_1/ 2020</w:t>
    </w:r>
  </w:p>
  <w:p w14:paraId="52AD5802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33F8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D974" w14:textId="77777777" w:rsidR="00672485" w:rsidRDefault="00672485" w:rsidP="00816E73">
      <w:pPr>
        <w:spacing w:after="0" w:line="240" w:lineRule="auto"/>
      </w:pPr>
      <w:r>
        <w:separator/>
      </w:r>
    </w:p>
  </w:footnote>
  <w:footnote w:type="continuationSeparator" w:id="0">
    <w:p w14:paraId="226556B6" w14:textId="77777777" w:rsidR="00672485" w:rsidRDefault="00672485" w:rsidP="00816E73">
      <w:pPr>
        <w:spacing w:after="0" w:line="240" w:lineRule="auto"/>
      </w:pPr>
      <w:r>
        <w:continuationSeparator/>
      </w:r>
    </w:p>
  </w:footnote>
  <w:footnote w:id="1">
    <w:p w14:paraId="2CD787C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3803475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8694691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09C50F4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7E6FDA3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239D4BEE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476AAA6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377D7D3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6438A74D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FB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520C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A3E7C4A" wp14:editId="1A32E067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3AA4514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920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9F9"/>
    <w:multiLevelType w:val="hybridMultilevel"/>
    <w:tmpl w:val="3C04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11981"/>
    <w:rsid w:val="0004681A"/>
    <w:rsid w:val="00062C05"/>
    <w:rsid w:val="00073EC9"/>
    <w:rsid w:val="0008088C"/>
    <w:rsid w:val="00087B3E"/>
    <w:rsid w:val="000C473D"/>
    <w:rsid w:val="000D0AFF"/>
    <w:rsid w:val="000D326C"/>
    <w:rsid w:val="00102D82"/>
    <w:rsid w:val="00112F47"/>
    <w:rsid w:val="001A150C"/>
    <w:rsid w:val="001A42DD"/>
    <w:rsid w:val="001E5182"/>
    <w:rsid w:val="001F26CD"/>
    <w:rsid w:val="0022263F"/>
    <w:rsid w:val="00222794"/>
    <w:rsid w:val="00246998"/>
    <w:rsid w:val="00255867"/>
    <w:rsid w:val="00282EE1"/>
    <w:rsid w:val="00284FDF"/>
    <w:rsid w:val="00326AFB"/>
    <w:rsid w:val="00377CBA"/>
    <w:rsid w:val="003C7698"/>
    <w:rsid w:val="00402A7B"/>
    <w:rsid w:val="004038BC"/>
    <w:rsid w:val="00422600"/>
    <w:rsid w:val="00433097"/>
    <w:rsid w:val="0047355F"/>
    <w:rsid w:val="004A4A06"/>
    <w:rsid w:val="004C347F"/>
    <w:rsid w:val="004D5CBD"/>
    <w:rsid w:val="004E364A"/>
    <w:rsid w:val="004E4845"/>
    <w:rsid w:val="004F6F4A"/>
    <w:rsid w:val="00502F15"/>
    <w:rsid w:val="00511DCE"/>
    <w:rsid w:val="00532FE9"/>
    <w:rsid w:val="00546BD2"/>
    <w:rsid w:val="00555FFD"/>
    <w:rsid w:val="005622F0"/>
    <w:rsid w:val="00572798"/>
    <w:rsid w:val="005B4A19"/>
    <w:rsid w:val="0061127F"/>
    <w:rsid w:val="00615BB4"/>
    <w:rsid w:val="006326A7"/>
    <w:rsid w:val="0066074D"/>
    <w:rsid w:val="00672485"/>
    <w:rsid w:val="00675F63"/>
    <w:rsid w:val="006849EB"/>
    <w:rsid w:val="006F6B13"/>
    <w:rsid w:val="00740452"/>
    <w:rsid w:val="008062B7"/>
    <w:rsid w:val="00816E73"/>
    <w:rsid w:val="00851A01"/>
    <w:rsid w:val="00852916"/>
    <w:rsid w:val="00852CC7"/>
    <w:rsid w:val="008A692A"/>
    <w:rsid w:val="008B78D7"/>
    <w:rsid w:val="008E2108"/>
    <w:rsid w:val="00942518"/>
    <w:rsid w:val="009547F9"/>
    <w:rsid w:val="00975300"/>
    <w:rsid w:val="00980601"/>
    <w:rsid w:val="00996838"/>
    <w:rsid w:val="009B1D30"/>
    <w:rsid w:val="009B6DDF"/>
    <w:rsid w:val="009C64D6"/>
    <w:rsid w:val="00A23768"/>
    <w:rsid w:val="00A25FD6"/>
    <w:rsid w:val="00A455BA"/>
    <w:rsid w:val="00AE36B5"/>
    <w:rsid w:val="00B15040"/>
    <w:rsid w:val="00B22EA0"/>
    <w:rsid w:val="00BA1526"/>
    <w:rsid w:val="00BC6C09"/>
    <w:rsid w:val="00BE7204"/>
    <w:rsid w:val="00C01D1D"/>
    <w:rsid w:val="00C029D7"/>
    <w:rsid w:val="00C25E50"/>
    <w:rsid w:val="00C40D4D"/>
    <w:rsid w:val="00C51FAE"/>
    <w:rsid w:val="00C63E2F"/>
    <w:rsid w:val="00C74091"/>
    <w:rsid w:val="00C86832"/>
    <w:rsid w:val="00CB01FF"/>
    <w:rsid w:val="00CE5D14"/>
    <w:rsid w:val="00D423E1"/>
    <w:rsid w:val="00D64B7C"/>
    <w:rsid w:val="00D733AB"/>
    <w:rsid w:val="00DB2771"/>
    <w:rsid w:val="00DE5CE0"/>
    <w:rsid w:val="00DF18D4"/>
    <w:rsid w:val="00DF77E6"/>
    <w:rsid w:val="00E55886"/>
    <w:rsid w:val="00E620D5"/>
    <w:rsid w:val="00E835FB"/>
    <w:rsid w:val="00EA434E"/>
    <w:rsid w:val="00EC403D"/>
    <w:rsid w:val="00F0362C"/>
    <w:rsid w:val="00F40711"/>
    <w:rsid w:val="00F40F87"/>
    <w:rsid w:val="00F4411C"/>
    <w:rsid w:val="00F617A3"/>
    <w:rsid w:val="00F83BCB"/>
    <w:rsid w:val="00F92527"/>
    <w:rsid w:val="00FC5E34"/>
    <w:rsid w:val="00FE27EC"/>
    <w:rsid w:val="00FF4276"/>
    <w:rsid w:val="00FF5820"/>
    <w:rsid w:val="00FF6B5A"/>
    <w:rsid w:val="21689322"/>
    <w:rsid w:val="2BD23331"/>
    <w:rsid w:val="30D6A97E"/>
    <w:rsid w:val="58523065"/>
    <w:rsid w:val="5F33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5338"/>
  <w15:docId w15:val="{EB62095B-05E5-40B4-89EC-704BB8F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C769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C7698"/>
    <w:pPr>
      <w:ind w:left="720"/>
      <w:contextualSpacing/>
    </w:pPr>
  </w:style>
  <w:style w:type="paragraph" w:customStyle="1" w:styleId="paragraph">
    <w:name w:val="paragraph"/>
    <w:basedOn w:val="Normlny"/>
    <w:rsid w:val="00B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22EA0"/>
  </w:style>
  <w:style w:type="character" w:customStyle="1" w:styleId="spellingerror">
    <w:name w:val="spellingerror"/>
    <w:basedOn w:val="Predvolenpsmoodseku"/>
    <w:rsid w:val="00B22EA0"/>
  </w:style>
  <w:style w:type="character" w:customStyle="1" w:styleId="eop">
    <w:name w:val="eop"/>
    <w:basedOn w:val="Predvolenpsmoodseku"/>
    <w:rsid w:val="00B22EA0"/>
  </w:style>
  <w:style w:type="character" w:customStyle="1" w:styleId="authorname">
    <w:name w:val="author_name"/>
    <w:basedOn w:val="Predvolenpsmoodseku"/>
    <w:rsid w:val="004A4A06"/>
  </w:style>
  <w:style w:type="character" w:customStyle="1" w:styleId="bcx2">
    <w:name w:val="bcx2"/>
    <w:basedOn w:val="Predvolenpsmoodseku"/>
    <w:rsid w:val="00402A7B"/>
  </w:style>
  <w:style w:type="character" w:customStyle="1" w:styleId="scxw70156145">
    <w:name w:val="scxw70156145"/>
    <w:basedOn w:val="Predvolenpsmoodseku"/>
    <w:rsid w:val="00F0362C"/>
  </w:style>
  <w:style w:type="character" w:customStyle="1" w:styleId="scxw128497460">
    <w:name w:val="scxw128497460"/>
    <w:basedOn w:val="Predvolenpsmoodseku"/>
    <w:rsid w:val="00E5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CB80-5BC8-4D8A-BA3B-F4F4D2E27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C631B-0F25-4511-AF98-BE95D3FA0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A18C6-A773-4216-83E9-D72A46796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1802</Words>
  <Characters>10273</Characters>
  <Application>Microsoft Office Word</Application>
  <DocSecurity>0</DocSecurity>
  <Lines>85</Lines>
  <Paragraphs>24</Paragraphs>
  <ScaleCrop>false</ScaleCrop>
  <Company>Trnavska univerzita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16</cp:revision>
  <dcterms:created xsi:type="dcterms:W3CDTF">2022-01-17T20:25:00Z</dcterms:created>
  <dcterms:modified xsi:type="dcterms:W3CDTF">2025-11-04T12:35:00Z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74000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