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4"/>
        <w:gridCol w:w="340"/>
        <w:gridCol w:w="1587"/>
        <w:gridCol w:w="7832"/>
      </w:tblGrid>
      <w:tr w:rsidR="00FF6B5A" w:rsidRPr="00FF6B5A" w14:paraId="38D0CD8E" w14:textId="77777777" w:rsidTr="3CD2FA5F">
        <w:trPr>
          <w:trHeight w:val="204"/>
        </w:trPr>
        <w:tc>
          <w:tcPr>
            <w:tcW w:w="0" w:type="auto"/>
            <w:vAlign w:val="bottom"/>
            <w:hideMark/>
          </w:tcPr>
          <w:p w14:paraId="06684C6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6A475A3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4E5BD6A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344792A0"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53F6ED05" w14:textId="77777777" w:rsidTr="3CD2FA5F">
        <w:trPr>
          <w:trHeight w:val="450"/>
        </w:trPr>
        <w:tc>
          <w:tcPr>
            <w:tcW w:w="0" w:type="auto"/>
            <w:vAlign w:val="center"/>
            <w:hideMark/>
          </w:tcPr>
          <w:p w14:paraId="3D6A9AB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3DBE98C1"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4724038A" w14:textId="77777777" w:rsidTr="3CD2FA5F">
        <w:trPr>
          <w:trHeight w:val="450"/>
        </w:trPr>
        <w:tc>
          <w:tcPr>
            <w:tcW w:w="0" w:type="auto"/>
            <w:vAlign w:val="center"/>
            <w:hideMark/>
          </w:tcPr>
          <w:p w14:paraId="42EFA88A"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7F219A29"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03B92B4F" w14:textId="77777777" w:rsidTr="3CD2FA5F">
        <w:trPr>
          <w:trHeight w:val="60"/>
        </w:trPr>
        <w:tc>
          <w:tcPr>
            <w:tcW w:w="0" w:type="auto"/>
            <w:vAlign w:val="bottom"/>
            <w:hideMark/>
          </w:tcPr>
          <w:p w14:paraId="4BA8ADA8"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vAlign w:val="center"/>
            <w:hideMark/>
          </w:tcPr>
          <w:p w14:paraId="211AEEC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214745F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4653463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6D5473D5" w14:textId="77777777" w:rsidTr="3CD2FA5F">
        <w:trPr>
          <w:trHeight w:val="375"/>
        </w:trPr>
        <w:tc>
          <w:tcPr>
            <w:tcW w:w="0" w:type="auto"/>
            <w:vAlign w:val="bottom"/>
            <w:hideMark/>
          </w:tcPr>
          <w:p w14:paraId="71BF372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vAlign w:val="bottom"/>
            <w:hideMark/>
          </w:tcPr>
          <w:p w14:paraId="4FB4FCD6"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5D274F5F" w14:textId="77777777" w:rsidTr="3CD2FA5F">
        <w:trPr>
          <w:trHeight w:val="375"/>
        </w:trPr>
        <w:tc>
          <w:tcPr>
            <w:tcW w:w="0" w:type="auto"/>
            <w:vAlign w:val="bottom"/>
            <w:hideMark/>
          </w:tcPr>
          <w:p w14:paraId="5BECA74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20D9C355"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0B7CF3D" w14:textId="77777777" w:rsidTr="3CD2FA5F">
        <w:trPr>
          <w:trHeight w:val="90"/>
        </w:trPr>
        <w:tc>
          <w:tcPr>
            <w:tcW w:w="0" w:type="auto"/>
            <w:vAlign w:val="bottom"/>
            <w:hideMark/>
          </w:tcPr>
          <w:p w14:paraId="481CD1E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14AD04A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4C973E1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61353179"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7F923D2" w14:textId="77777777" w:rsidTr="3CD2FA5F">
        <w:trPr>
          <w:trHeight w:val="345"/>
        </w:trPr>
        <w:tc>
          <w:tcPr>
            <w:tcW w:w="0" w:type="auto"/>
            <w:vAlign w:val="bottom"/>
            <w:hideMark/>
          </w:tcPr>
          <w:p w14:paraId="369640A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3D3B63A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2A6A7906" w14:textId="77777777" w:rsidR="00FF6B5A" w:rsidRPr="00FF6B5A" w:rsidRDefault="007102E7"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hideMark/>
          </w:tcPr>
          <w:p w14:paraId="51B1AAF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40110FC" w14:textId="77777777" w:rsidTr="3CD2FA5F">
        <w:trPr>
          <w:trHeight w:val="345"/>
        </w:trPr>
        <w:tc>
          <w:tcPr>
            <w:tcW w:w="0" w:type="auto"/>
            <w:vAlign w:val="bottom"/>
            <w:hideMark/>
          </w:tcPr>
          <w:p w14:paraId="1BDFF17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Align w:val="center"/>
            <w:hideMark/>
          </w:tcPr>
          <w:p w14:paraId="793EB18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752D5F55"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hideMark/>
          </w:tcPr>
          <w:p w14:paraId="68AF313E" w14:textId="77777777"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p>
        </w:tc>
      </w:tr>
      <w:tr w:rsidR="00FF6B5A" w:rsidRPr="00FF6B5A" w14:paraId="6649BE5D" w14:textId="77777777" w:rsidTr="3CD2FA5F">
        <w:trPr>
          <w:trHeight w:val="405"/>
        </w:trPr>
        <w:tc>
          <w:tcPr>
            <w:tcW w:w="0" w:type="auto"/>
            <w:vAlign w:val="bottom"/>
            <w:hideMark/>
          </w:tcPr>
          <w:p w14:paraId="57F557E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Align w:val="center"/>
            <w:hideMark/>
          </w:tcPr>
          <w:p w14:paraId="7A3945C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0235CFF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hideMark/>
          </w:tcPr>
          <w:p w14:paraId="6578CC7D" w14:textId="77777777" w:rsidR="00FF6B5A" w:rsidRPr="00CB01FF" w:rsidRDefault="00FF6B5A" w:rsidP="00FF6B5A">
            <w:pPr>
              <w:spacing w:after="0" w:line="240" w:lineRule="auto"/>
              <w:rPr>
                <w:rFonts w:eastAsia="Times New Roman" w:cstheme="minorHAnsi"/>
                <w:lang w:eastAsia="sk-SK"/>
              </w:rPr>
            </w:pPr>
          </w:p>
        </w:tc>
      </w:tr>
      <w:tr w:rsidR="00FF6B5A" w:rsidRPr="00FF6B5A" w14:paraId="0D462BED" w14:textId="77777777" w:rsidTr="3CD2FA5F">
        <w:trPr>
          <w:trHeight w:val="510"/>
        </w:trPr>
        <w:tc>
          <w:tcPr>
            <w:tcW w:w="0" w:type="auto"/>
            <w:vAlign w:val="bottom"/>
            <w:hideMark/>
          </w:tcPr>
          <w:p w14:paraId="3618D64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71E1D349" w14:textId="77777777" w:rsidR="00FF6B5A" w:rsidRPr="00FF6B5A" w:rsidRDefault="007102E7" w:rsidP="004E4845">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hideMark/>
          </w:tcPr>
          <w:p w14:paraId="7F7381C4" w14:textId="7D3EAB41"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proofErr w:type="spellStart"/>
            <w:r w:rsidR="00FC5E34">
              <w:rPr>
                <w:rFonts w:eastAsia="Times New Roman" w:cstheme="minorHAnsi"/>
                <w:color w:val="000000"/>
                <w:lang w:eastAsia="sk-SK"/>
              </w:rPr>
              <w:t>Ž</w:t>
            </w:r>
            <w:r w:rsidR="00FC5E34">
              <w:rPr>
                <w:rFonts w:eastAsia="Times New Roman"/>
                <w:color w:val="000000"/>
                <w:lang w:eastAsia="sk-SK"/>
              </w:rPr>
              <w:t>itňanská</w:t>
            </w:r>
            <w:proofErr w:type="spellEnd"/>
          </w:p>
        </w:tc>
      </w:tr>
      <w:tr w:rsidR="00FF6B5A" w:rsidRPr="00FF6B5A" w14:paraId="0B0CB2B5" w14:textId="77777777" w:rsidTr="3CD2FA5F">
        <w:trPr>
          <w:trHeight w:val="315"/>
        </w:trPr>
        <w:tc>
          <w:tcPr>
            <w:tcW w:w="0" w:type="auto"/>
            <w:vAlign w:val="bottom"/>
            <w:hideMark/>
          </w:tcPr>
          <w:p w14:paraId="580FCFF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1AAA274" w14:textId="77777777" w:rsidR="00FF6B5A" w:rsidRPr="00FF6B5A" w:rsidRDefault="007102E7"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hideMark/>
          </w:tcPr>
          <w:p w14:paraId="3A2726EA" w14:textId="3A8476C2"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r w:rsidR="00FC5E34">
              <w:rPr>
                <w:rFonts w:eastAsia="Times New Roman" w:cstheme="minorHAnsi"/>
                <w:color w:val="000000"/>
                <w:lang w:eastAsia="sk-SK"/>
              </w:rPr>
              <w:t>L</w:t>
            </w:r>
            <w:r w:rsidR="00FC5E34">
              <w:rPr>
                <w:rFonts w:eastAsia="Times New Roman"/>
                <w:color w:val="000000"/>
                <w:lang w:eastAsia="sk-SK"/>
              </w:rPr>
              <w:t>ucia</w:t>
            </w:r>
          </w:p>
        </w:tc>
      </w:tr>
      <w:tr w:rsidR="00FF6B5A" w:rsidRPr="00FF6B5A" w14:paraId="04319611" w14:textId="77777777" w:rsidTr="3CD2FA5F">
        <w:trPr>
          <w:trHeight w:val="510"/>
        </w:trPr>
        <w:tc>
          <w:tcPr>
            <w:tcW w:w="0" w:type="auto"/>
            <w:vAlign w:val="bottom"/>
            <w:hideMark/>
          </w:tcPr>
          <w:p w14:paraId="0130791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BA2F938" w14:textId="77777777" w:rsidR="00FF6B5A" w:rsidRPr="00FF6B5A" w:rsidRDefault="007102E7" w:rsidP="00FF6B5A">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hideMark/>
          </w:tcPr>
          <w:p w14:paraId="763FAF36" w14:textId="1B4992C4" w:rsidR="00FF6B5A" w:rsidRPr="00CB01FF" w:rsidRDefault="00FC5E34" w:rsidP="00FF6B5A">
            <w:pPr>
              <w:spacing w:after="0" w:line="240" w:lineRule="auto"/>
              <w:rPr>
                <w:rFonts w:eastAsia="Times New Roman" w:cstheme="minorHAnsi"/>
                <w:color w:val="000000"/>
                <w:lang w:eastAsia="sk-SK"/>
              </w:rPr>
            </w:pPr>
            <w:r>
              <w:rPr>
                <w:rFonts w:eastAsia="Times New Roman" w:cstheme="minorHAnsi"/>
                <w:color w:val="000000"/>
                <w:lang w:eastAsia="sk-SK"/>
              </w:rPr>
              <w:t>D</w:t>
            </w:r>
            <w:r>
              <w:rPr>
                <w:rFonts w:eastAsia="Times New Roman"/>
                <w:color w:val="000000"/>
                <w:lang w:eastAsia="sk-SK"/>
              </w:rPr>
              <w:t>oc. JUDr. PhD.</w:t>
            </w:r>
            <w:r w:rsidR="000C473D" w:rsidRPr="00CB01FF">
              <w:rPr>
                <w:rFonts w:eastAsia="Times New Roman" w:cstheme="minorHAnsi"/>
                <w:color w:val="000000"/>
                <w:lang w:eastAsia="sk-SK"/>
              </w:rPr>
              <w:t xml:space="preserve"> </w:t>
            </w:r>
          </w:p>
        </w:tc>
      </w:tr>
      <w:tr w:rsidR="00FF6B5A" w:rsidRPr="00FF6B5A" w14:paraId="56709914" w14:textId="77777777" w:rsidTr="3CD2FA5F">
        <w:trPr>
          <w:trHeight w:val="660"/>
        </w:trPr>
        <w:tc>
          <w:tcPr>
            <w:tcW w:w="0" w:type="auto"/>
            <w:vAlign w:val="bottom"/>
            <w:hideMark/>
          </w:tcPr>
          <w:p w14:paraId="7D56CFE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673E1CA" w14:textId="77777777" w:rsidR="00FF6B5A" w:rsidRPr="00FF6B5A" w:rsidRDefault="007102E7"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hideMark/>
          </w:tcPr>
          <w:p w14:paraId="0B7CAEFF" w14:textId="53E34D7D" w:rsidR="000C473D" w:rsidRPr="00CB01FF" w:rsidRDefault="00433097" w:rsidP="000C473D">
            <w:pPr>
              <w:spacing w:after="0" w:line="240" w:lineRule="auto"/>
              <w:rPr>
                <w:rFonts w:eastAsia="Times New Roman" w:cstheme="minorHAnsi"/>
                <w:iCs/>
                <w:color w:val="000000"/>
                <w:lang w:eastAsia="sk-SK"/>
              </w:rPr>
            </w:pPr>
            <w:r w:rsidRPr="00433097">
              <w:rPr>
                <w:rFonts w:eastAsia="Times New Roman" w:cstheme="minorHAnsi"/>
                <w:iCs/>
                <w:color w:val="000000"/>
                <w:lang w:eastAsia="sk-SK"/>
              </w:rPr>
              <w:t>https://www.portalvs.sk/regzam/detail/11950</w:t>
            </w:r>
          </w:p>
          <w:p w14:paraId="26A9AD78" w14:textId="4952171F" w:rsidR="00FF6B5A" w:rsidRPr="00CB01FF" w:rsidRDefault="00FF6B5A" w:rsidP="00FF6B5A">
            <w:pPr>
              <w:spacing w:after="0" w:line="240" w:lineRule="auto"/>
              <w:rPr>
                <w:rFonts w:eastAsia="Times New Roman" w:cstheme="minorHAnsi"/>
                <w:color w:val="000000"/>
                <w:lang w:eastAsia="sk-SK"/>
              </w:rPr>
            </w:pPr>
          </w:p>
        </w:tc>
      </w:tr>
      <w:tr w:rsidR="00FF6B5A" w:rsidRPr="00FF6B5A" w14:paraId="14D19C3C" w14:textId="77777777" w:rsidTr="3CD2FA5F">
        <w:trPr>
          <w:trHeight w:val="300"/>
        </w:trPr>
        <w:tc>
          <w:tcPr>
            <w:tcW w:w="0" w:type="auto"/>
            <w:vAlign w:val="bottom"/>
            <w:hideMark/>
          </w:tcPr>
          <w:p w14:paraId="38AD6E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082922F" w14:textId="77777777" w:rsidR="00FF6B5A" w:rsidRPr="00FF6B5A" w:rsidRDefault="007102E7"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lastRenderedPageBreak/>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hideMark/>
          </w:tcPr>
          <w:p w14:paraId="5C2F11FA" w14:textId="478E7BE7" w:rsidR="00FF6B5A" w:rsidRPr="00CB01FF" w:rsidRDefault="00FF6B5A" w:rsidP="00422600">
            <w:pPr>
              <w:spacing w:after="0" w:line="240" w:lineRule="auto"/>
              <w:rPr>
                <w:rFonts w:eastAsia="Times New Roman" w:cstheme="minorHAnsi"/>
                <w:color w:val="000000"/>
                <w:lang w:eastAsia="sk-SK"/>
              </w:rPr>
            </w:pPr>
            <w:r w:rsidRPr="00CB01FF">
              <w:rPr>
                <w:rFonts w:eastAsia="Times New Roman" w:cstheme="minorHAnsi"/>
                <w:lang w:eastAsia="sk-SK"/>
              </w:rPr>
              <w:lastRenderedPageBreak/>
              <w:t> </w:t>
            </w:r>
            <w:r w:rsidR="007102E7" w:rsidRPr="001754C9">
              <w:rPr>
                <w:rFonts w:eastAsia="Times New Roman" w:cstheme="minorHAnsi"/>
                <w:lang w:eastAsia="sk-SK"/>
              </w:rPr>
              <w:t xml:space="preserve">Študijný program Občianske právo, 3. stupeň / </w:t>
            </w:r>
            <w:proofErr w:type="spellStart"/>
            <w:r w:rsidR="007102E7" w:rsidRPr="001754C9">
              <w:rPr>
                <w:rFonts w:eastAsia="Times New Roman" w:cstheme="minorHAnsi"/>
                <w:lang w:eastAsia="sk-SK"/>
              </w:rPr>
              <w:t>Third</w:t>
            </w:r>
            <w:proofErr w:type="spellEnd"/>
            <w:r w:rsidR="007102E7" w:rsidRPr="001754C9">
              <w:rPr>
                <w:rFonts w:eastAsia="Times New Roman" w:cstheme="minorHAnsi"/>
                <w:lang w:eastAsia="sk-SK"/>
              </w:rPr>
              <w:t xml:space="preserve"> </w:t>
            </w:r>
            <w:proofErr w:type="spellStart"/>
            <w:r w:rsidR="007102E7" w:rsidRPr="001754C9">
              <w:rPr>
                <w:rFonts w:eastAsia="Times New Roman" w:cstheme="minorHAnsi"/>
                <w:lang w:eastAsia="sk-SK"/>
              </w:rPr>
              <w:t>degree</w:t>
            </w:r>
            <w:proofErr w:type="spellEnd"/>
            <w:r w:rsidR="007102E7" w:rsidRPr="001754C9">
              <w:rPr>
                <w:rFonts w:eastAsia="Times New Roman" w:cstheme="minorHAnsi"/>
                <w:lang w:eastAsia="sk-SK"/>
              </w:rPr>
              <w:t xml:space="preserve"> study programe "Civil </w:t>
            </w:r>
            <w:proofErr w:type="spellStart"/>
            <w:r w:rsidR="007102E7" w:rsidRPr="001754C9">
              <w:rPr>
                <w:rFonts w:eastAsia="Times New Roman" w:cstheme="minorHAnsi"/>
                <w:lang w:eastAsia="sk-SK"/>
              </w:rPr>
              <w:t>law</w:t>
            </w:r>
            <w:proofErr w:type="spellEnd"/>
            <w:r w:rsidR="007102E7" w:rsidRPr="001754C9">
              <w:rPr>
                <w:rFonts w:eastAsia="Times New Roman" w:cstheme="minorHAnsi"/>
                <w:lang w:eastAsia="sk-SK"/>
              </w:rPr>
              <w:t xml:space="preserve">" / Odbor habilitačného a inauguračného konania  "Občianske právo" / </w:t>
            </w:r>
            <w:proofErr w:type="spellStart"/>
            <w:r w:rsidR="007102E7" w:rsidRPr="001754C9">
              <w:rPr>
                <w:rFonts w:eastAsia="Times New Roman" w:cstheme="minorHAnsi"/>
                <w:lang w:eastAsia="sk-SK"/>
              </w:rPr>
              <w:t>The</w:t>
            </w:r>
            <w:proofErr w:type="spellEnd"/>
            <w:r w:rsidR="007102E7" w:rsidRPr="001754C9">
              <w:rPr>
                <w:rFonts w:eastAsia="Times New Roman" w:cstheme="minorHAnsi"/>
                <w:lang w:eastAsia="sk-SK"/>
              </w:rPr>
              <w:t xml:space="preserve"> </w:t>
            </w:r>
            <w:proofErr w:type="spellStart"/>
            <w:r w:rsidR="007102E7" w:rsidRPr="001754C9">
              <w:rPr>
                <w:rFonts w:eastAsia="Times New Roman" w:cstheme="minorHAnsi"/>
                <w:lang w:eastAsia="sk-SK"/>
              </w:rPr>
              <w:t>field</w:t>
            </w:r>
            <w:proofErr w:type="spellEnd"/>
            <w:r w:rsidR="007102E7" w:rsidRPr="001754C9">
              <w:rPr>
                <w:rFonts w:eastAsia="Times New Roman" w:cstheme="minorHAnsi"/>
                <w:lang w:eastAsia="sk-SK"/>
              </w:rPr>
              <w:t xml:space="preserve"> of </w:t>
            </w:r>
            <w:proofErr w:type="spellStart"/>
            <w:r w:rsidR="007102E7" w:rsidRPr="001754C9">
              <w:rPr>
                <w:rFonts w:eastAsia="Times New Roman" w:cstheme="minorHAnsi"/>
                <w:lang w:eastAsia="sk-SK"/>
              </w:rPr>
              <w:t>the</w:t>
            </w:r>
            <w:proofErr w:type="spellEnd"/>
            <w:r w:rsidR="007102E7" w:rsidRPr="001754C9">
              <w:rPr>
                <w:rFonts w:eastAsia="Times New Roman" w:cstheme="minorHAnsi"/>
                <w:lang w:eastAsia="sk-SK"/>
              </w:rPr>
              <w:t xml:space="preserve"> </w:t>
            </w:r>
            <w:proofErr w:type="spellStart"/>
            <w:r w:rsidR="007102E7" w:rsidRPr="001754C9">
              <w:rPr>
                <w:rFonts w:eastAsia="Times New Roman" w:cstheme="minorHAnsi"/>
                <w:lang w:eastAsia="sk-SK"/>
              </w:rPr>
              <w:t>habilitation</w:t>
            </w:r>
            <w:proofErr w:type="spellEnd"/>
            <w:r w:rsidR="007102E7" w:rsidRPr="001754C9">
              <w:rPr>
                <w:rFonts w:eastAsia="Times New Roman" w:cstheme="minorHAnsi"/>
                <w:lang w:eastAsia="sk-SK"/>
              </w:rPr>
              <w:t xml:space="preserve"> </w:t>
            </w:r>
            <w:proofErr w:type="spellStart"/>
            <w:r w:rsidR="007102E7" w:rsidRPr="001754C9">
              <w:rPr>
                <w:rFonts w:eastAsia="Times New Roman" w:cstheme="minorHAnsi"/>
                <w:lang w:eastAsia="sk-SK"/>
              </w:rPr>
              <w:t>procedure</w:t>
            </w:r>
            <w:proofErr w:type="spellEnd"/>
            <w:r w:rsidR="007102E7" w:rsidRPr="001754C9">
              <w:rPr>
                <w:rFonts w:eastAsia="Times New Roman" w:cstheme="minorHAnsi"/>
                <w:lang w:eastAsia="sk-SK"/>
              </w:rPr>
              <w:t xml:space="preserve"> and </w:t>
            </w:r>
            <w:proofErr w:type="spellStart"/>
            <w:r w:rsidR="007102E7" w:rsidRPr="001754C9">
              <w:rPr>
                <w:rFonts w:eastAsia="Times New Roman" w:cstheme="minorHAnsi"/>
                <w:lang w:eastAsia="sk-SK"/>
              </w:rPr>
              <w:t>inaugural</w:t>
            </w:r>
            <w:proofErr w:type="spellEnd"/>
            <w:r w:rsidR="007102E7" w:rsidRPr="001754C9">
              <w:rPr>
                <w:rFonts w:eastAsia="Times New Roman" w:cstheme="minorHAnsi"/>
                <w:lang w:eastAsia="sk-SK"/>
              </w:rPr>
              <w:t xml:space="preserve"> </w:t>
            </w:r>
            <w:proofErr w:type="spellStart"/>
            <w:r w:rsidR="007102E7" w:rsidRPr="001754C9">
              <w:rPr>
                <w:rFonts w:eastAsia="Times New Roman" w:cstheme="minorHAnsi"/>
                <w:lang w:eastAsia="sk-SK"/>
              </w:rPr>
              <w:t>procedure</w:t>
            </w:r>
            <w:proofErr w:type="spellEnd"/>
            <w:r w:rsidR="007102E7" w:rsidRPr="001754C9">
              <w:rPr>
                <w:rFonts w:eastAsia="Times New Roman" w:cstheme="minorHAnsi"/>
                <w:lang w:eastAsia="sk-SK"/>
              </w:rPr>
              <w:t xml:space="preserve">: "Civil </w:t>
            </w:r>
            <w:proofErr w:type="spellStart"/>
            <w:r w:rsidR="007102E7" w:rsidRPr="001754C9">
              <w:rPr>
                <w:rFonts w:eastAsia="Times New Roman" w:cstheme="minorHAnsi"/>
                <w:lang w:eastAsia="sk-SK"/>
              </w:rPr>
              <w:t>Law</w:t>
            </w:r>
            <w:proofErr w:type="spellEnd"/>
            <w:r w:rsidR="007102E7" w:rsidRPr="001754C9">
              <w:rPr>
                <w:rFonts w:eastAsia="Times New Roman" w:cstheme="minorHAnsi"/>
                <w:lang w:eastAsia="sk-SK"/>
              </w:rPr>
              <w:t>"</w:t>
            </w:r>
          </w:p>
        </w:tc>
      </w:tr>
      <w:tr w:rsidR="008E2108" w:rsidRPr="00FF6B5A" w14:paraId="5AE22338" w14:textId="77777777" w:rsidTr="3CD2FA5F">
        <w:trPr>
          <w:trHeight w:val="300"/>
        </w:trPr>
        <w:tc>
          <w:tcPr>
            <w:tcW w:w="0" w:type="auto"/>
            <w:vAlign w:val="bottom"/>
          </w:tcPr>
          <w:p w14:paraId="4863594D"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D5DCE4" w:themeFill="text2" w:themeFillTint="33"/>
            <w:vAlign w:val="center"/>
          </w:tcPr>
          <w:p w14:paraId="2665BEF5" w14:textId="74AE1DB5" w:rsidR="008E2108" w:rsidRDefault="3E7D38A4" w:rsidP="3CD2FA5F">
            <w:pPr>
              <w:spacing w:after="0" w:line="240" w:lineRule="auto"/>
              <w:rPr>
                <w:rFonts w:ascii="Calibri" w:eastAsia="Calibri" w:hAnsi="Calibri" w:cs="Calibri"/>
              </w:rPr>
            </w:pPr>
            <w:r w:rsidRPr="3CD2FA5F">
              <w:rPr>
                <w:rFonts w:ascii="Calibri" w:eastAsia="Calibri" w:hAnsi="Calibri" w:cs="Calibri"/>
              </w:rPr>
              <w:t>Zaradenie (PF TU)</w:t>
            </w:r>
          </w:p>
        </w:tc>
        <w:tc>
          <w:tcPr>
            <w:tcW w:w="0" w:type="auto"/>
          </w:tcPr>
          <w:p w14:paraId="285B8AA2" w14:textId="14C67D5D" w:rsidR="008E2108" w:rsidRPr="00CB01FF" w:rsidRDefault="00D56698" w:rsidP="00FF6B5A">
            <w:pPr>
              <w:spacing w:after="0" w:line="240" w:lineRule="auto"/>
              <w:rPr>
                <w:rFonts w:eastAsia="Times New Roman" w:cstheme="minorHAnsi"/>
                <w:color w:val="000000"/>
                <w:lang w:eastAsia="sk-SK"/>
              </w:rPr>
            </w:pPr>
            <w:r>
              <w:rPr>
                <w:rFonts w:eastAsia="Times New Roman" w:cstheme="minorHAnsi"/>
                <w:color w:val="000000"/>
                <w:lang w:eastAsia="sk-SK"/>
              </w:rPr>
              <w:t>A</w:t>
            </w:r>
          </w:p>
        </w:tc>
      </w:tr>
      <w:tr w:rsidR="00FF6B5A" w:rsidRPr="00FF6B5A" w14:paraId="2755EA2A" w14:textId="77777777" w:rsidTr="3CD2FA5F">
        <w:trPr>
          <w:trHeight w:val="660"/>
        </w:trPr>
        <w:tc>
          <w:tcPr>
            <w:tcW w:w="0" w:type="auto"/>
            <w:vAlign w:val="bottom"/>
            <w:hideMark/>
          </w:tcPr>
          <w:p w14:paraId="306E084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840DCC6" w14:textId="77777777" w:rsidR="00FF6B5A" w:rsidRDefault="007102E7"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3B623BE5"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hideMark/>
          </w:tcPr>
          <w:p w14:paraId="42A0A139" w14:textId="742BCB01" w:rsidR="00FF6B5A" w:rsidRPr="00CB01FF" w:rsidRDefault="00FF6B5A" w:rsidP="00FF6B5A">
            <w:pPr>
              <w:spacing w:after="0" w:line="240" w:lineRule="auto"/>
              <w:rPr>
                <w:rFonts w:eastAsia="Times New Roman" w:cstheme="minorHAnsi"/>
                <w:iCs/>
                <w:color w:val="00B0F0"/>
                <w:lang w:eastAsia="sk-SK"/>
              </w:rPr>
            </w:pPr>
            <w:r w:rsidRPr="00CB01FF">
              <w:rPr>
                <w:rFonts w:eastAsia="Times New Roman" w:cstheme="minorHAnsi"/>
                <w:i/>
                <w:iCs/>
                <w:lang w:eastAsia="sk-SK"/>
              </w:rPr>
              <w:t> </w:t>
            </w:r>
            <w:r w:rsidR="00942518" w:rsidRPr="00CB01FF">
              <w:rPr>
                <w:rFonts w:eastAsia="Times New Roman" w:cstheme="minorHAnsi"/>
                <w:b/>
                <w:color w:val="000000"/>
                <w:lang w:eastAsia="sk-SK"/>
              </w:rPr>
              <w:t>vedecký výstup</w:t>
            </w:r>
            <w:r w:rsidR="00942518" w:rsidRPr="00CB01FF">
              <w:rPr>
                <w:rFonts w:eastAsia="Times New Roman" w:cstheme="minorHAnsi"/>
                <w:color w:val="000000"/>
                <w:lang w:eastAsia="sk-SK"/>
              </w:rPr>
              <w:t xml:space="preserve"> / </w:t>
            </w:r>
            <w:proofErr w:type="spellStart"/>
            <w:r w:rsidR="00942518" w:rsidRPr="00CB01FF">
              <w:rPr>
                <w:rFonts w:eastAsia="Times New Roman" w:cstheme="minorHAnsi"/>
                <w:color w:val="000000"/>
                <w:lang w:eastAsia="sk-SK"/>
              </w:rPr>
              <w:t>scientific</w:t>
            </w:r>
            <w:proofErr w:type="spellEnd"/>
            <w:r w:rsidR="00942518" w:rsidRPr="00CB01FF">
              <w:rPr>
                <w:rFonts w:eastAsia="Times New Roman" w:cstheme="minorHAnsi"/>
                <w:color w:val="000000"/>
                <w:lang w:eastAsia="sk-SK"/>
              </w:rPr>
              <w:t xml:space="preserve"> output</w:t>
            </w:r>
          </w:p>
        </w:tc>
      </w:tr>
      <w:tr w:rsidR="00FF6B5A" w:rsidRPr="00FF6B5A" w14:paraId="5CF1856E" w14:textId="77777777" w:rsidTr="3CD2FA5F">
        <w:trPr>
          <w:trHeight w:val="510"/>
        </w:trPr>
        <w:tc>
          <w:tcPr>
            <w:tcW w:w="0" w:type="auto"/>
            <w:vAlign w:val="bottom"/>
            <w:hideMark/>
          </w:tcPr>
          <w:p w14:paraId="26051AA9"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2CDC91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hideMark/>
          </w:tcPr>
          <w:p w14:paraId="24BC0AA8" w14:textId="06884479"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r w:rsidR="009A7362">
              <w:rPr>
                <w:rFonts w:eastAsia="Times New Roman" w:cstheme="minorHAnsi"/>
                <w:color w:val="000000"/>
                <w:lang w:eastAsia="sk-SK"/>
              </w:rPr>
              <w:t>2022</w:t>
            </w:r>
          </w:p>
        </w:tc>
      </w:tr>
      <w:tr w:rsidR="00FF6B5A" w:rsidRPr="00FF6B5A" w14:paraId="70C2F838" w14:textId="77777777" w:rsidTr="3CD2FA5F">
        <w:trPr>
          <w:trHeight w:val="660"/>
        </w:trPr>
        <w:tc>
          <w:tcPr>
            <w:tcW w:w="0" w:type="auto"/>
            <w:vAlign w:val="bottom"/>
            <w:hideMark/>
          </w:tcPr>
          <w:p w14:paraId="3898A1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28620AE" w14:textId="77777777" w:rsidR="00FF6B5A" w:rsidRPr="00FF6B5A" w:rsidRDefault="007102E7"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hideMark/>
          </w:tcPr>
          <w:p w14:paraId="7E838123" w14:textId="77777777" w:rsidR="00422600" w:rsidRDefault="00D305D9" w:rsidP="00EA434E">
            <w:pPr>
              <w:rPr>
                <w:rFonts w:eastAsia="Times New Roman" w:cstheme="minorHAnsi"/>
                <w:color w:val="000000"/>
                <w:lang w:eastAsia="sk-SK"/>
              </w:rPr>
            </w:pPr>
            <w:r w:rsidRPr="00D305D9">
              <w:rPr>
                <w:rFonts w:eastAsia="Times New Roman" w:cstheme="minorHAnsi"/>
                <w:color w:val="000000"/>
                <w:lang w:eastAsia="sk-SK"/>
              </w:rPr>
              <w:t>ID: 459427 | </w:t>
            </w:r>
            <w:r w:rsidRPr="00D305D9">
              <w:rPr>
                <w:rFonts w:eastAsia="Times New Roman" w:cstheme="minorHAnsi"/>
                <w:b/>
                <w:bCs/>
                <w:color w:val="000000"/>
                <w:lang w:eastAsia="sk-SK"/>
              </w:rPr>
              <w:t xml:space="preserve">Hranice </w:t>
            </w:r>
            <w:proofErr w:type="spellStart"/>
            <w:r w:rsidRPr="00D305D9">
              <w:rPr>
                <w:rFonts w:eastAsia="Times New Roman" w:cstheme="minorHAnsi"/>
                <w:b/>
                <w:bCs/>
                <w:color w:val="000000"/>
                <w:lang w:eastAsia="sk-SK"/>
              </w:rPr>
              <w:t>využitelnosti</w:t>
            </w:r>
            <w:proofErr w:type="spellEnd"/>
            <w:r w:rsidRPr="00D305D9">
              <w:rPr>
                <w:rFonts w:eastAsia="Times New Roman" w:cstheme="minorHAnsi"/>
                <w:b/>
                <w:bCs/>
                <w:color w:val="000000"/>
                <w:lang w:eastAsia="sk-SK"/>
              </w:rPr>
              <w:t xml:space="preserve"> </w:t>
            </w:r>
            <w:proofErr w:type="spellStart"/>
            <w:r w:rsidRPr="00D305D9">
              <w:rPr>
                <w:rFonts w:eastAsia="Times New Roman" w:cstheme="minorHAnsi"/>
                <w:b/>
                <w:bCs/>
                <w:color w:val="000000"/>
                <w:lang w:eastAsia="sk-SK"/>
              </w:rPr>
              <w:t>preventivní</w:t>
            </w:r>
            <w:proofErr w:type="spellEnd"/>
            <w:r w:rsidRPr="00D305D9">
              <w:rPr>
                <w:rFonts w:eastAsia="Times New Roman" w:cstheme="minorHAnsi"/>
                <w:b/>
                <w:bCs/>
                <w:color w:val="000000"/>
                <w:lang w:eastAsia="sk-SK"/>
              </w:rPr>
              <w:t xml:space="preserve"> </w:t>
            </w:r>
            <w:proofErr w:type="spellStart"/>
            <w:r w:rsidRPr="00D305D9">
              <w:rPr>
                <w:rFonts w:eastAsia="Times New Roman" w:cstheme="minorHAnsi"/>
                <w:b/>
                <w:bCs/>
                <w:color w:val="000000"/>
                <w:lang w:eastAsia="sk-SK"/>
              </w:rPr>
              <w:t>restrukturalizace</w:t>
            </w:r>
            <w:proofErr w:type="spellEnd"/>
            <w:r w:rsidRPr="00D305D9">
              <w:rPr>
                <w:rFonts w:eastAsia="Times New Roman" w:cstheme="minorHAnsi"/>
                <w:b/>
                <w:bCs/>
                <w:color w:val="000000"/>
                <w:lang w:eastAsia="sk-SK"/>
              </w:rPr>
              <w:t xml:space="preserve"> a </w:t>
            </w:r>
            <w:proofErr w:type="spellStart"/>
            <w:r w:rsidRPr="00D305D9">
              <w:rPr>
                <w:rFonts w:eastAsia="Times New Roman" w:cstheme="minorHAnsi"/>
                <w:b/>
                <w:bCs/>
                <w:color w:val="000000"/>
                <w:lang w:eastAsia="sk-SK"/>
              </w:rPr>
              <w:t>insolvency</w:t>
            </w:r>
            <w:proofErr w:type="spellEnd"/>
            <w:r w:rsidRPr="00D305D9">
              <w:rPr>
                <w:rFonts w:eastAsia="Times New Roman" w:cstheme="minorHAnsi"/>
                <w:b/>
                <w:bCs/>
                <w:color w:val="000000"/>
                <w:lang w:eastAsia="sk-SK"/>
              </w:rPr>
              <w:t xml:space="preserve"> </w:t>
            </w:r>
            <w:proofErr w:type="spellStart"/>
            <w:r w:rsidRPr="00D305D9">
              <w:rPr>
                <w:rFonts w:eastAsia="Times New Roman" w:cstheme="minorHAnsi"/>
                <w:b/>
                <w:bCs/>
                <w:color w:val="000000"/>
                <w:lang w:eastAsia="sk-SK"/>
              </w:rPr>
              <w:t>governance</w:t>
            </w:r>
            <w:proofErr w:type="spellEnd"/>
            <w:r w:rsidRPr="00D305D9">
              <w:rPr>
                <w:rFonts w:eastAsia="Times New Roman" w:cstheme="minorHAnsi"/>
                <w:b/>
                <w:bCs/>
                <w:color w:val="000000"/>
                <w:lang w:eastAsia="sk-SK"/>
              </w:rPr>
              <w:t xml:space="preserve"> - český a slovenský </w:t>
            </w:r>
            <w:proofErr w:type="spellStart"/>
            <w:r w:rsidRPr="00D305D9">
              <w:rPr>
                <w:rFonts w:eastAsia="Times New Roman" w:cstheme="minorHAnsi"/>
                <w:b/>
                <w:bCs/>
                <w:color w:val="000000"/>
                <w:lang w:eastAsia="sk-SK"/>
              </w:rPr>
              <w:t>pohled</w:t>
            </w:r>
            <w:proofErr w:type="spellEnd"/>
            <w:r w:rsidRPr="00D305D9">
              <w:rPr>
                <w:rFonts w:eastAsia="Times New Roman" w:cstheme="minorHAnsi"/>
                <w:color w:val="000000"/>
                <w:lang w:eastAsia="sk-SK"/>
              </w:rPr>
              <w:t xml:space="preserve"> / </w:t>
            </w:r>
            <w:proofErr w:type="spellStart"/>
            <w:r w:rsidRPr="00D305D9">
              <w:rPr>
                <w:rFonts w:eastAsia="Times New Roman" w:cstheme="minorHAnsi"/>
                <w:color w:val="000000"/>
                <w:lang w:eastAsia="sk-SK"/>
              </w:rPr>
              <w:t>Havel</w:t>
            </w:r>
            <w:proofErr w:type="spellEnd"/>
            <w:r w:rsidRPr="00D305D9">
              <w:rPr>
                <w:rFonts w:eastAsia="Times New Roman" w:cstheme="minorHAnsi"/>
                <w:color w:val="000000"/>
                <w:lang w:eastAsia="sk-SK"/>
              </w:rPr>
              <w:t xml:space="preserve">, Bohumil (Autor) (50%) ; </w:t>
            </w:r>
            <w:proofErr w:type="spellStart"/>
            <w:r w:rsidRPr="00D305D9">
              <w:rPr>
                <w:rFonts w:eastAsia="Times New Roman" w:cstheme="minorHAnsi"/>
                <w:color w:val="000000"/>
                <w:lang w:eastAsia="sk-SK"/>
              </w:rPr>
              <w:t>Žitňanská</w:t>
            </w:r>
            <w:proofErr w:type="spellEnd"/>
            <w:r w:rsidRPr="00D305D9">
              <w:rPr>
                <w:rFonts w:eastAsia="Times New Roman" w:cstheme="minorHAnsi"/>
                <w:color w:val="000000"/>
                <w:lang w:eastAsia="sk-SK"/>
              </w:rPr>
              <w:t>, Lucia (Autor) (50%). – [recenzované].</w:t>
            </w:r>
            <w:r w:rsidRPr="00D305D9">
              <w:rPr>
                <w:rFonts w:eastAsia="Times New Roman" w:cstheme="minorHAnsi"/>
                <w:color w:val="000000"/>
                <w:lang w:eastAsia="sk-SK"/>
              </w:rPr>
              <w:br/>
            </w:r>
            <w:r w:rsidRPr="00D305D9">
              <w:rPr>
                <w:rFonts w:eastAsia="Times New Roman" w:cstheme="minorHAnsi"/>
                <w:b/>
                <w:bCs/>
                <w:color w:val="000000"/>
                <w:lang w:eastAsia="sk-SK"/>
              </w:rPr>
              <w:t>In:</w:t>
            </w:r>
            <w:r w:rsidRPr="00D305D9">
              <w:rPr>
                <w:rFonts w:eastAsia="Times New Roman" w:cstheme="minorHAnsi"/>
                <w:color w:val="000000"/>
                <w:lang w:eastAsia="sk-SK"/>
              </w:rPr>
              <w:t> </w:t>
            </w:r>
            <w:proofErr w:type="spellStart"/>
            <w:r w:rsidRPr="00D305D9">
              <w:rPr>
                <w:rFonts w:eastAsia="Times New Roman" w:cstheme="minorHAnsi"/>
                <w:i/>
                <w:iCs/>
                <w:color w:val="000000"/>
                <w:lang w:eastAsia="sk-SK"/>
              </w:rPr>
              <w:t>Právní</w:t>
            </w:r>
            <w:proofErr w:type="spellEnd"/>
            <w:r w:rsidRPr="00D305D9">
              <w:rPr>
                <w:rFonts w:eastAsia="Times New Roman" w:cstheme="minorHAnsi"/>
                <w:i/>
                <w:iCs/>
                <w:color w:val="000000"/>
                <w:lang w:eastAsia="sk-SK"/>
              </w:rPr>
              <w:t xml:space="preserve"> </w:t>
            </w:r>
            <w:proofErr w:type="spellStart"/>
            <w:r w:rsidRPr="00D305D9">
              <w:rPr>
                <w:rFonts w:eastAsia="Times New Roman" w:cstheme="minorHAnsi"/>
                <w:i/>
                <w:iCs/>
                <w:color w:val="000000"/>
                <w:lang w:eastAsia="sk-SK"/>
              </w:rPr>
              <w:t>rozhledy</w:t>
            </w:r>
            <w:proofErr w:type="spellEnd"/>
            <w:r w:rsidRPr="00D305D9">
              <w:rPr>
                <w:rFonts w:eastAsia="Times New Roman" w:cstheme="minorHAnsi"/>
                <w:color w:val="000000"/>
                <w:lang w:eastAsia="sk-SK"/>
              </w:rPr>
              <w:t> [textový dokument (</w:t>
            </w:r>
            <w:proofErr w:type="spellStart"/>
            <w:r w:rsidRPr="00D305D9">
              <w:rPr>
                <w:rFonts w:eastAsia="Times New Roman" w:cstheme="minorHAnsi"/>
                <w:color w:val="000000"/>
                <w:lang w:eastAsia="sk-SK"/>
              </w:rPr>
              <w:t>print</w:t>
            </w:r>
            <w:proofErr w:type="spellEnd"/>
            <w:r w:rsidRPr="00D305D9">
              <w:rPr>
                <w:rFonts w:eastAsia="Times New Roman" w:cstheme="minorHAnsi"/>
                <w:color w:val="000000"/>
                <w:lang w:eastAsia="sk-SK"/>
              </w:rPr>
              <w:t xml:space="preserve">)] : časopis pro </w:t>
            </w:r>
            <w:proofErr w:type="spellStart"/>
            <w:r w:rsidRPr="00D305D9">
              <w:rPr>
                <w:rFonts w:eastAsia="Times New Roman" w:cstheme="minorHAnsi"/>
                <w:color w:val="000000"/>
                <w:lang w:eastAsia="sk-SK"/>
              </w:rPr>
              <w:t>všechna</w:t>
            </w:r>
            <w:proofErr w:type="spellEnd"/>
            <w:r w:rsidRPr="00D305D9">
              <w:rPr>
                <w:rFonts w:eastAsia="Times New Roman" w:cstheme="minorHAnsi"/>
                <w:color w:val="000000"/>
                <w:lang w:eastAsia="sk-SK"/>
              </w:rPr>
              <w:t xml:space="preserve"> </w:t>
            </w:r>
            <w:proofErr w:type="spellStart"/>
            <w:r w:rsidRPr="00D305D9">
              <w:rPr>
                <w:rFonts w:eastAsia="Times New Roman" w:cstheme="minorHAnsi"/>
                <w:color w:val="000000"/>
                <w:lang w:eastAsia="sk-SK"/>
              </w:rPr>
              <w:t>právní</w:t>
            </w:r>
            <w:proofErr w:type="spellEnd"/>
            <w:r w:rsidRPr="00D305D9">
              <w:rPr>
                <w:rFonts w:eastAsia="Times New Roman" w:cstheme="minorHAnsi"/>
                <w:color w:val="000000"/>
                <w:lang w:eastAsia="sk-SK"/>
              </w:rPr>
              <w:t xml:space="preserve"> </w:t>
            </w:r>
            <w:proofErr w:type="spellStart"/>
            <w:r w:rsidRPr="00D305D9">
              <w:rPr>
                <w:rFonts w:eastAsia="Times New Roman" w:cstheme="minorHAnsi"/>
                <w:color w:val="000000"/>
                <w:lang w:eastAsia="sk-SK"/>
              </w:rPr>
              <w:t>odvětví</w:t>
            </w:r>
            <w:proofErr w:type="spellEnd"/>
            <w:r w:rsidRPr="00D305D9">
              <w:rPr>
                <w:rFonts w:eastAsia="Times New Roman" w:cstheme="minorHAnsi"/>
                <w:color w:val="000000"/>
                <w:lang w:eastAsia="sk-SK"/>
              </w:rPr>
              <w:t xml:space="preserve">. – Praha (Česko) : C.H. </w:t>
            </w:r>
            <w:proofErr w:type="spellStart"/>
            <w:r w:rsidRPr="00D305D9">
              <w:rPr>
                <w:rFonts w:eastAsia="Times New Roman" w:cstheme="minorHAnsi"/>
                <w:color w:val="000000"/>
                <w:lang w:eastAsia="sk-SK"/>
              </w:rPr>
              <w:t>Beck</w:t>
            </w:r>
            <w:proofErr w:type="spellEnd"/>
            <w:r w:rsidRPr="00D305D9">
              <w:rPr>
                <w:rFonts w:eastAsia="Times New Roman" w:cstheme="minorHAnsi"/>
                <w:color w:val="000000"/>
                <w:lang w:eastAsia="sk-SK"/>
              </w:rPr>
              <w:t>. – ISSN 1210-6410. – Roč. 30, č. 1 (2022), s. 1-6 [tlačená forma]</w:t>
            </w:r>
          </w:p>
          <w:p w14:paraId="7EA0900B" w14:textId="6DD77397" w:rsidR="00D305D9" w:rsidRPr="00CB01FF" w:rsidRDefault="00D305D9" w:rsidP="00EA434E">
            <w:pPr>
              <w:rPr>
                <w:rFonts w:eastAsia="Times New Roman" w:cstheme="minorHAnsi"/>
                <w:color w:val="000000"/>
                <w:lang w:eastAsia="sk-SK"/>
              </w:rPr>
            </w:pPr>
          </w:p>
        </w:tc>
      </w:tr>
      <w:tr w:rsidR="00FF6B5A" w:rsidRPr="00FF6B5A" w14:paraId="7043AB98" w14:textId="77777777" w:rsidTr="3CD2FA5F">
        <w:trPr>
          <w:trHeight w:val="525"/>
        </w:trPr>
        <w:tc>
          <w:tcPr>
            <w:tcW w:w="0" w:type="auto"/>
            <w:vAlign w:val="bottom"/>
            <w:hideMark/>
          </w:tcPr>
          <w:p w14:paraId="02B970D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F2B6CC9" w14:textId="77777777" w:rsidR="00FF6B5A" w:rsidRPr="00FF6B5A" w:rsidRDefault="007102E7"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tcPr>
          <w:p w14:paraId="507098E5" w14:textId="303CDE9F" w:rsidR="00FF6B5A" w:rsidRDefault="008A692A" w:rsidP="00FE27EC">
            <w:pPr>
              <w:spacing w:after="0" w:line="240" w:lineRule="auto"/>
              <w:rPr>
                <w:rFonts w:eastAsia="Times New Roman" w:cstheme="minorHAnsi"/>
                <w:color w:val="000000"/>
                <w:lang w:eastAsia="sk-SK"/>
              </w:rPr>
            </w:pPr>
            <w:r w:rsidRPr="008A692A">
              <w:rPr>
                <w:rFonts w:eastAsia="Times New Roman" w:cstheme="minorHAnsi"/>
                <w:color w:val="000000"/>
                <w:lang w:eastAsia="sk-SK"/>
              </w:rPr>
              <w:t xml:space="preserve"> </w:t>
            </w:r>
            <w:hyperlink r:id="rId20" w:history="1">
              <w:r w:rsidR="00D305D9" w:rsidRPr="00DE3A9F">
                <w:rPr>
                  <w:rStyle w:val="Hypertextovprepojenie"/>
                  <w:rFonts w:eastAsia="Times New Roman" w:cstheme="minorHAnsi"/>
                  <w:lang w:eastAsia="sk-SK"/>
                </w:rPr>
                <w:t>https://repco.truni.sk/?fn=ResultFormChildU912&amp;seo=REP%C4%8CO-Zoznam-z%C3%A1znamov</w:t>
              </w:r>
            </w:hyperlink>
          </w:p>
          <w:p w14:paraId="5FF90BB9" w14:textId="6405B2CE" w:rsidR="00D305D9" w:rsidRPr="00CB01FF" w:rsidRDefault="00D305D9" w:rsidP="00FE27EC">
            <w:pPr>
              <w:spacing w:after="0" w:line="240" w:lineRule="auto"/>
              <w:rPr>
                <w:rFonts w:eastAsia="Times New Roman" w:cstheme="minorHAnsi"/>
                <w:color w:val="000000"/>
                <w:lang w:eastAsia="sk-SK"/>
              </w:rPr>
            </w:pPr>
          </w:p>
        </w:tc>
      </w:tr>
      <w:tr w:rsidR="00C86832" w:rsidRPr="00FF6B5A" w14:paraId="21498929" w14:textId="77777777" w:rsidTr="3CD2FA5F">
        <w:trPr>
          <w:trHeight w:val="525"/>
        </w:trPr>
        <w:tc>
          <w:tcPr>
            <w:tcW w:w="0" w:type="auto"/>
            <w:vAlign w:val="bottom"/>
          </w:tcPr>
          <w:p w14:paraId="6F1ADBEE"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74742115" w14:textId="77777777" w:rsidR="00C86832" w:rsidRDefault="00C86832" w:rsidP="00532FE9">
            <w:pPr>
              <w:spacing w:after="0" w:line="240" w:lineRule="auto"/>
            </w:pPr>
          </w:p>
        </w:tc>
        <w:tc>
          <w:tcPr>
            <w:tcW w:w="0" w:type="auto"/>
          </w:tcPr>
          <w:p w14:paraId="26262AED" w14:textId="77777777" w:rsidR="00C86832" w:rsidRPr="00CB01FF" w:rsidRDefault="00C86832" w:rsidP="00FE27EC">
            <w:pPr>
              <w:spacing w:after="0" w:line="240" w:lineRule="auto"/>
              <w:rPr>
                <w:rFonts w:eastAsia="Times New Roman" w:cstheme="minorHAnsi"/>
                <w:color w:val="000000"/>
                <w:lang w:eastAsia="sk-SK"/>
              </w:rPr>
            </w:pPr>
          </w:p>
        </w:tc>
      </w:tr>
      <w:tr w:rsidR="00FF6B5A" w:rsidRPr="00FF6B5A" w14:paraId="6BA9D2A2" w14:textId="77777777" w:rsidTr="3CD2FA5F">
        <w:trPr>
          <w:trHeight w:val="1065"/>
        </w:trPr>
        <w:tc>
          <w:tcPr>
            <w:tcW w:w="0" w:type="auto"/>
            <w:vAlign w:val="bottom"/>
            <w:hideMark/>
          </w:tcPr>
          <w:p w14:paraId="1D1FB3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6429918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auto" w:fill="D9E1F2"/>
            <w:vAlign w:val="center"/>
            <w:hideMark/>
          </w:tcPr>
          <w:p w14:paraId="29C19DA6" w14:textId="77777777" w:rsidR="00FF6B5A" w:rsidRPr="00FF6B5A" w:rsidRDefault="007102E7"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hideMark/>
          </w:tcPr>
          <w:p w14:paraId="03C9B177" w14:textId="77777777"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p>
        </w:tc>
      </w:tr>
      <w:tr w:rsidR="00FF6B5A" w:rsidRPr="00FF6B5A" w14:paraId="51BFBC80" w14:textId="77777777" w:rsidTr="3CD2FA5F">
        <w:trPr>
          <w:trHeight w:val="1515"/>
        </w:trPr>
        <w:tc>
          <w:tcPr>
            <w:tcW w:w="0" w:type="auto"/>
            <w:vAlign w:val="bottom"/>
            <w:hideMark/>
          </w:tcPr>
          <w:p w14:paraId="6D0277B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2B8038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86CD7C5"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hideMark/>
          </w:tcPr>
          <w:p w14:paraId="429E661A" w14:textId="0E8964E9" w:rsidR="00FF6B5A" w:rsidRPr="00CB01FF" w:rsidRDefault="00FF6B5A" w:rsidP="00FF6B5A">
            <w:pPr>
              <w:spacing w:after="0" w:line="240" w:lineRule="auto"/>
              <w:rPr>
                <w:rFonts w:eastAsia="Times New Roman" w:cstheme="minorHAnsi"/>
                <w:color w:val="000000"/>
                <w:lang w:eastAsia="sk-SK"/>
              </w:rPr>
            </w:pPr>
          </w:p>
        </w:tc>
      </w:tr>
      <w:tr w:rsidR="00FF6B5A" w:rsidRPr="00FF6B5A" w14:paraId="1DD2128C" w14:textId="77777777" w:rsidTr="3CD2FA5F">
        <w:trPr>
          <w:trHeight w:val="1290"/>
        </w:trPr>
        <w:tc>
          <w:tcPr>
            <w:tcW w:w="0" w:type="auto"/>
            <w:vAlign w:val="bottom"/>
            <w:hideMark/>
          </w:tcPr>
          <w:p w14:paraId="43AF582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8D5F8A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03B2189C" w14:textId="77777777" w:rsidR="00FF6B5A" w:rsidRPr="00CB01FF" w:rsidRDefault="007102E7" w:rsidP="00087B3E">
            <w:pPr>
              <w:spacing w:after="0" w:line="240" w:lineRule="auto"/>
              <w:rPr>
                <w:rFonts w:ascii="Calibri" w:eastAsia="Times New Roman" w:hAnsi="Calibri" w:cs="Times New Roman"/>
                <w:lang w:eastAsia="sk-SK"/>
              </w:rPr>
            </w:pPr>
            <w:hyperlink r:id="rId22" w:anchor="Expl.OCA12!A1" w:history="1">
              <w:r w:rsidR="00FF6B5A" w:rsidRPr="00CB01FF">
                <w:rPr>
                  <w:rFonts w:ascii="Calibri" w:eastAsia="Times New Roman" w:hAnsi="Calibri" w:cs="Times New Roman"/>
                  <w:lang w:eastAsia="sk-SK"/>
                </w:rPr>
                <w:t xml:space="preserve">OCA12. Typ výstupu (ak nie je výstup registrovaný v CREPČ alebo CREUČ) / Type of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output (</w:t>
              </w:r>
              <w:proofErr w:type="spellStart"/>
              <w:r w:rsidR="00FF6B5A" w:rsidRPr="00CB01FF">
                <w:rPr>
                  <w:rFonts w:ascii="Calibri" w:eastAsia="Times New Roman" w:hAnsi="Calibri" w:cs="Times New Roman"/>
                  <w:lang w:eastAsia="sk-SK"/>
                </w:rPr>
                <w:t>if</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output </w:t>
              </w:r>
              <w:proofErr w:type="spellStart"/>
              <w:r w:rsidR="00FF6B5A" w:rsidRPr="00CB01FF">
                <w:rPr>
                  <w:rFonts w:ascii="Calibri" w:eastAsia="Times New Roman" w:hAnsi="Calibri" w:cs="Times New Roman"/>
                  <w:lang w:eastAsia="sk-SK"/>
                </w:rPr>
                <w:t>is</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not</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registered</w:t>
              </w:r>
              <w:proofErr w:type="spellEnd"/>
              <w:r w:rsidR="00FF6B5A" w:rsidRPr="00CB01FF">
                <w:rPr>
                  <w:rFonts w:ascii="Calibri" w:eastAsia="Times New Roman" w:hAnsi="Calibri" w:cs="Times New Roman"/>
                  <w:lang w:eastAsia="sk-SK"/>
                </w:rPr>
                <w:t xml:space="preserve"> in CRPA or CRAA)</w:t>
              </w:r>
              <w:r w:rsidR="00FF6B5A" w:rsidRPr="00CB01FF">
                <w:rPr>
                  <w:rFonts w:ascii="Calibri" w:eastAsia="Times New Roman" w:hAnsi="Calibri" w:cs="Times New Roman"/>
                  <w:lang w:eastAsia="sk-SK"/>
                </w:rPr>
                <w:br/>
              </w:r>
            </w:hyperlink>
          </w:p>
        </w:tc>
        <w:tc>
          <w:tcPr>
            <w:tcW w:w="0" w:type="auto"/>
            <w:hideMark/>
          </w:tcPr>
          <w:p w14:paraId="6266D3A3" w14:textId="6E16142C" w:rsidR="00FF6B5A" w:rsidRPr="00CB01FF" w:rsidRDefault="00FF6B5A" w:rsidP="00FF6B5A">
            <w:pPr>
              <w:spacing w:after="0" w:line="240" w:lineRule="auto"/>
              <w:rPr>
                <w:rFonts w:eastAsia="Times New Roman" w:cstheme="minorHAnsi"/>
                <w:iCs/>
                <w:color w:val="000000"/>
                <w:lang w:eastAsia="sk-SK"/>
              </w:rPr>
            </w:pPr>
          </w:p>
        </w:tc>
      </w:tr>
      <w:tr w:rsidR="00FF6B5A" w:rsidRPr="00FF6B5A" w14:paraId="3994E767" w14:textId="77777777" w:rsidTr="3CD2FA5F">
        <w:trPr>
          <w:trHeight w:val="1110"/>
        </w:trPr>
        <w:tc>
          <w:tcPr>
            <w:tcW w:w="0" w:type="auto"/>
            <w:vAlign w:val="bottom"/>
            <w:hideMark/>
          </w:tcPr>
          <w:p w14:paraId="1F1E41C7"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66CE3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0F864A0" w14:textId="77777777" w:rsidR="00FF6B5A" w:rsidRPr="00CB01FF" w:rsidRDefault="00FF6B5A" w:rsidP="00FF6B5A">
            <w:pPr>
              <w:spacing w:after="0" w:line="240" w:lineRule="auto"/>
              <w:rPr>
                <w:rFonts w:ascii="Calibri" w:eastAsia="Times New Roman" w:hAnsi="Calibri" w:cs="Times New Roman"/>
                <w:color w:val="000000"/>
                <w:lang w:eastAsia="sk-SK"/>
              </w:rPr>
            </w:pPr>
            <w:r w:rsidRPr="00CB01FF">
              <w:rPr>
                <w:rFonts w:ascii="Calibri" w:eastAsia="Times New Roman" w:hAnsi="Calibri" w:cs="Times New Roman"/>
                <w:color w:val="000000"/>
                <w:lang w:eastAsia="sk-SK"/>
              </w:rPr>
              <w:t xml:space="preserve">OCA13. </w:t>
            </w:r>
            <w:proofErr w:type="spellStart"/>
            <w:r w:rsidRPr="00CB01FF">
              <w:rPr>
                <w:rFonts w:ascii="Calibri" w:eastAsia="Times New Roman" w:hAnsi="Calibri" w:cs="Times New Roman"/>
                <w:b/>
                <w:color w:val="000000"/>
                <w:lang w:eastAsia="sk-SK"/>
              </w:rPr>
              <w:t>Hyperlink</w:t>
            </w:r>
            <w:proofErr w:type="spellEnd"/>
            <w:r w:rsidRPr="00CB01FF">
              <w:rPr>
                <w:rFonts w:ascii="Calibri" w:eastAsia="Times New Roman" w:hAnsi="Calibri" w:cs="Times New Roman"/>
                <w:b/>
                <w:color w:val="000000"/>
                <w:lang w:eastAsia="sk-SK"/>
              </w:rPr>
              <w:t xml:space="preserve"> na stránku, na ktorej je výstup sprístupnený</w:t>
            </w:r>
            <w:r w:rsidRPr="00CB01FF">
              <w:rPr>
                <w:rFonts w:ascii="Calibri" w:eastAsia="Times New Roman" w:hAnsi="Calibri" w:cs="Times New Roman"/>
                <w:color w:val="000000"/>
                <w:lang w:eastAsia="sk-SK"/>
              </w:rPr>
              <w:t xml:space="preserve"> (úplný text, iná dokumentácia a podobne) / </w:t>
            </w:r>
            <w:proofErr w:type="spellStart"/>
            <w:r w:rsidRPr="00CB01FF">
              <w:rPr>
                <w:rFonts w:ascii="Calibri" w:eastAsia="Times New Roman" w:hAnsi="Calibri" w:cs="Times New Roman"/>
                <w:color w:val="000000"/>
                <w:lang w:eastAsia="sk-SK"/>
              </w:rPr>
              <w:t>Hyperlink</w:t>
            </w:r>
            <w:proofErr w:type="spellEnd"/>
            <w:r w:rsidRPr="00CB01FF">
              <w:rPr>
                <w:rFonts w:ascii="Calibri" w:eastAsia="Times New Roman" w:hAnsi="Calibri" w:cs="Times New Roman"/>
                <w:color w:val="000000"/>
                <w:lang w:eastAsia="sk-SK"/>
              </w:rPr>
              <w:t xml:space="preserve"> to </w:t>
            </w:r>
            <w:proofErr w:type="spellStart"/>
            <w:r w:rsidRPr="00CB01FF">
              <w:rPr>
                <w:rFonts w:ascii="Calibri" w:eastAsia="Times New Roman" w:hAnsi="Calibri" w:cs="Times New Roman"/>
                <w:color w:val="000000"/>
                <w:lang w:eastAsia="sk-SK"/>
              </w:rPr>
              <w:t>the</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webpage</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where</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the</w:t>
            </w:r>
            <w:proofErr w:type="spellEnd"/>
            <w:r w:rsidRPr="00CB01FF">
              <w:rPr>
                <w:rFonts w:ascii="Calibri" w:eastAsia="Times New Roman" w:hAnsi="Calibri" w:cs="Times New Roman"/>
                <w:color w:val="000000"/>
                <w:lang w:eastAsia="sk-SK"/>
              </w:rPr>
              <w:t xml:space="preserve"> output </w:t>
            </w:r>
            <w:proofErr w:type="spellStart"/>
            <w:r w:rsidRPr="00CB01FF">
              <w:rPr>
                <w:rFonts w:ascii="Calibri" w:eastAsia="Times New Roman" w:hAnsi="Calibri" w:cs="Times New Roman"/>
                <w:color w:val="000000"/>
                <w:lang w:eastAsia="sk-SK"/>
              </w:rPr>
              <w:t>is</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available</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full</w:t>
            </w:r>
            <w:proofErr w:type="spellEnd"/>
            <w:r w:rsidRPr="00CB01FF">
              <w:rPr>
                <w:rFonts w:ascii="Calibri" w:eastAsia="Times New Roman" w:hAnsi="Calibri" w:cs="Times New Roman"/>
                <w:color w:val="000000"/>
                <w:lang w:eastAsia="sk-SK"/>
              </w:rPr>
              <w:t xml:space="preserve"> text, </w:t>
            </w:r>
            <w:proofErr w:type="spellStart"/>
            <w:r w:rsidRPr="00CB01FF">
              <w:rPr>
                <w:rFonts w:ascii="Calibri" w:eastAsia="Times New Roman" w:hAnsi="Calibri" w:cs="Times New Roman"/>
                <w:color w:val="000000"/>
                <w:lang w:eastAsia="sk-SK"/>
              </w:rPr>
              <w:t>other</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documentation</w:t>
            </w:r>
            <w:proofErr w:type="spellEnd"/>
            <w:r w:rsidRPr="00CB01FF">
              <w:rPr>
                <w:rFonts w:ascii="Calibri" w:eastAsia="Times New Roman" w:hAnsi="Calibri" w:cs="Times New Roman"/>
                <w:color w:val="000000"/>
                <w:lang w:eastAsia="sk-SK"/>
              </w:rPr>
              <w:t>, etc.)</w:t>
            </w:r>
          </w:p>
        </w:tc>
        <w:tc>
          <w:tcPr>
            <w:tcW w:w="0" w:type="auto"/>
            <w:hideMark/>
          </w:tcPr>
          <w:p w14:paraId="30F1675D" w14:textId="611CE632" w:rsidR="00FF6B5A" w:rsidRDefault="007102E7" w:rsidP="00FF6B5A">
            <w:pPr>
              <w:spacing w:after="0" w:line="240" w:lineRule="auto"/>
              <w:rPr>
                <w:rFonts w:eastAsia="Times New Roman" w:cstheme="minorHAnsi"/>
                <w:color w:val="000000"/>
                <w:lang w:eastAsia="sk-SK"/>
              </w:rPr>
            </w:pPr>
            <w:hyperlink r:id="rId23" w:history="1">
              <w:r w:rsidR="00D305D9" w:rsidRPr="00DE3A9F">
                <w:rPr>
                  <w:rStyle w:val="Hypertextovprepojenie"/>
                  <w:rFonts w:eastAsia="Times New Roman" w:cstheme="minorHAnsi"/>
                  <w:lang w:eastAsia="sk-SK"/>
                </w:rPr>
                <w:t>https://app.beck-online.cz/bo/chapterview-document.seam?documentId=nrptembsgjpxa4s7gfpxgxzr&amp;refSource=search&amp;ols=&amp;searchScope=all&amp;searchType=normal</w:t>
              </w:r>
            </w:hyperlink>
          </w:p>
          <w:p w14:paraId="2438FED5" w14:textId="056B4BB0" w:rsidR="00D305D9" w:rsidRPr="00CB01FF" w:rsidRDefault="00D305D9" w:rsidP="00FF6B5A">
            <w:pPr>
              <w:spacing w:after="0" w:line="240" w:lineRule="auto"/>
              <w:rPr>
                <w:rFonts w:eastAsia="Times New Roman" w:cstheme="minorHAnsi"/>
                <w:color w:val="000000"/>
                <w:lang w:eastAsia="sk-SK"/>
              </w:rPr>
            </w:pPr>
          </w:p>
        </w:tc>
      </w:tr>
      <w:tr w:rsidR="00FF6B5A" w:rsidRPr="00FF6B5A" w14:paraId="49B38A92" w14:textId="77777777" w:rsidTr="3CD2FA5F">
        <w:trPr>
          <w:trHeight w:val="765"/>
        </w:trPr>
        <w:tc>
          <w:tcPr>
            <w:tcW w:w="0" w:type="auto"/>
            <w:vAlign w:val="bottom"/>
            <w:hideMark/>
          </w:tcPr>
          <w:p w14:paraId="207E32D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2470FC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D8472C6" w14:textId="77777777" w:rsidR="00FF6B5A" w:rsidRPr="00CB01FF" w:rsidRDefault="00FF6B5A" w:rsidP="00FF6B5A">
            <w:pPr>
              <w:spacing w:after="0" w:line="240" w:lineRule="auto"/>
              <w:rPr>
                <w:rFonts w:ascii="Calibri" w:eastAsia="Times New Roman" w:hAnsi="Calibri" w:cs="Times New Roman"/>
                <w:color w:val="000000"/>
                <w:lang w:eastAsia="sk-SK"/>
              </w:rPr>
            </w:pPr>
            <w:r w:rsidRPr="00CB01FF">
              <w:rPr>
                <w:rFonts w:ascii="Calibri" w:eastAsia="Times New Roman" w:hAnsi="Calibri" w:cs="Times New Roman"/>
                <w:color w:val="000000"/>
                <w:lang w:eastAsia="sk-SK"/>
              </w:rPr>
              <w:t xml:space="preserve">OCA14. Charakteristika autorského vkladu / </w:t>
            </w:r>
            <w:proofErr w:type="spellStart"/>
            <w:r w:rsidRPr="00CB01FF">
              <w:rPr>
                <w:rFonts w:ascii="Calibri" w:eastAsia="Times New Roman" w:hAnsi="Calibri" w:cs="Times New Roman"/>
                <w:color w:val="000000"/>
                <w:lang w:eastAsia="sk-SK"/>
              </w:rPr>
              <w:t>Characteristics</w:t>
            </w:r>
            <w:proofErr w:type="spellEnd"/>
            <w:r w:rsidRPr="00CB01FF">
              <w:rPr>
                <w:rFonts w:ascii="Calibri" w:eastAsia="Times New Roman" w:hAnsi="Calibri" w:cs="Times New Roman"/>
                <w:color w:val="000000"/>
                <w:lang w:eastAsia="sk-SK"/>
              </w:rPr>
              <w:t xml:space="preserve"> of </w:t>
            </w:r>
            <w:proofErr w:type="spellStart"/>
            <w:r w:rsidRPr="00CB01FF">
              <w:rPr>
                <w:rFonts w:ascii="Calibri" w:eastAsia="Times New Roman" w:hAnsi="Calibri" w:cs="Times New Roman"/>
                <w:color w:val="000000"/>
                <w:lang w:eastAsia="sk-SK"/>
              </w:rPr>
              <w:t>the</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author's</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contribution</w:t>
            </w:r>
            <w:proofErr w:type="spellEnd"/>
          </w:p>
        </w:tc>
        <w:tc>
          <w:tcPr>
            <w:tcW w:w="0" w:type="auto"/>
            <w:hideMark/>
          </w:tcPr>
          <w:p w14:paraId="7D33DD09" w14:textId="1034B5B3" w:rsidR="00FF6B5A" w:rsidRPr="00CB01FF" w:rsidRDefault="00964472" w:rsidP="00FF6B5A">
            <w:pPr>
              <w:spacing w:after="0" w:line="240" w:lineRule="auto"/>
              <w:rPr>
                <w:rFonts w:eastAsia="Times New Roman" w:cstheme="minorHAnsi"/>
                <w:color w:val="000000"/>
                <w:lang w:eastAsia="sk-SK"/>
              </w:rPr>
            </w:pPr>
            <w:r>
              <w:rPr>
                <w:rFonts w:eastAsia="Times New Roman" w:cstheme="minorHAnsi"/>
                <w:color w:val="000000"/>
                <w:lang w:eastAsia="sk-SK"/>
              </w:rPr>
              <w:t xml:space="preserve">spoluautorka </w:t>
            </w:r>
            <w:r w:rsidR="009A7362">
              <w:rPr>
                <w:rFonts w:eastAsia="Times New Roman" w:cstheme="minorHAnsi"/>
                <w:color w:val="000000"/>
                <w:lang w:eastAsia="sk-SK"/>
              </w:rPr>
              <w:t>50%</w:t>
            </w:r>
          </w:p>
        </w:tc>
      </w:tr>
      <w:tr w:rsidR="00FF6B5A" w:rsidRPr="00FF6B5A" w14:paraId="270C6842" w14:textId="77777777" w:rsidTr="3CD2FA5F">
        <w:trPr>
          <w:trHeight w:val="2310"/>
        </w:trPr>
        <w:tc>
          <w:tcPr>
            <w:tcW w:w="0" w:type="auto"/>
            <w:vAlign w:val="bottom"/>
            <w:hideMark/>
          </w:tcPr>
          <w:p w14:paraId="07D7D6E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E5B7FC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1740FF49" w14:textId="77777777" w:rsidR="00FF6B5A" w:rsidRPr="00CB01FF" w:rsidRDefault="007102E7" w:rsidP="00532FE9">
            <w:pPr>
              <w:spacing w:after="0" w:line="240" w:lineRule="auto"/>
              <w:rPr>
                <w:rFonts w:ascii="Calibri" w:eastAsia="Times New Roman" w:hAnsi="Calibri" w:cs="Times New Roman"/>
                <w:lang w:eastAsia="sk-SK"/>
              </w:rPr>
            </w:pPr>
            <w:hyperlink r:id="rId24" w:anchor="'poznamky_explanatory notes'!A1" w:history="1">
              <w:r w:rsidR="00FF6B5A" w:rsidRPr="00CB01FF">
                <w:rPr>
                  <w:rFonts w:ascii="Calibri" w:eastAsia="Times New Roman" w:hAnsi="Calibri" w:cs="Times New Roman"/>
                  <w:lang w:eastAsia="sk-SK"/>
                </w:rPr>
                <w:t xml:space="preserve">OCA15. </w:t>
              </w:r>
              <w:r w:rsidR="00FF6B5A" w:rsidRPr="00CB01FF">
                <w:rPr>
                  <w:rFonts w:ascii="Calibri" w:eastAsia="Times New Roman" w:hAnsi="Calibri" w:cs="Times New Roman"/>
                  <w:b/>
                  <w:lang w:eastAsia="sk-SK"/>
                </w:rPr>
                <w:t>Anotácia výstupu s kontextovými informáciami týkajúcimi sa opisu tvorivého procesu a obsahu tvorivej činnosti a pod</w:t>
              </w:r>
              <w:r w:rsidR="00FF6B5A" w:rsidRPr="00CB01FF">
                <w:rPr>
                  <w:rFonts w:ascii="Calibri" w:eastAsia="Times New Roman" w:hAnsi="Calibri" w:cs="Times New Roman"/>
                  <w:lang w:eastAsia="sk-SK"/>
                </w:rPr>
                <w:t xml:space="preserve">. / </w:t>
              </w:r>
              <w:proofErr w:type="spellStart"/>
              <w:r w:rsidR="00FF6B5A" w:rsidRPr="00CB01FF">
                <w:rPr>
                  <w:rFonts w:ascii="Calibri" w:eastAsia="Times New Roman" w:hAnsi="Calibri" w:cs="Times New Roman"/>
                  <w:lang w:eastAsia="sk-SK"/>
                </w:rPr>
                <w:t>Annotation</w:t>
              </w:r>
              <w:proofErr w:type="spellEnd"/>
              <w:r w:rsidR="00FF6B5A" w:rsidRPr="00CB01FF">
                <w:rPr>
                  <w:rFonts w:ascii="Calibri" w:eastAsia="Times New Roman" w:hAnsi="Calibri" w:cs="Times New Roman"/>
                  <w:lang w:eastAsia="sk-SK"/>
                </w:rPr>
                <w:t xml:space="preserve"> of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output </w:t>
              </w:r>
              <w:proofErr w:type="spellStart"/>
              <w:r w:rsidR="00FF6B5A" w:rsidRPr="00CB01FF">
                <w:rPr>
                  <w:rFonts w:ascii="Calibri" w:eastAsia="Times New Roman" w:hAnsi="Calibri" w:cs="Times New Roman"/>
                  <w:lang w:eastAsia="sk-SK"/>
                </w:rPr>
                <w:t>with</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contextual</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information</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concerning</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description</w:t>
              </w:r>
              <w:proofErr w:type="spellEnd"/>
              <w:r w:rsidR="00FF6B5A" w:rsidRPr="00CB01FF">
                <w:rPr>
                  <w:rFonts w:ascii="Calibri" w:eastAsia="Times New Roman" w:hAnsi="Calibri" w:cs="Times New Roman"/>
                  <w:lang w:eastAsia="sk-SK"/>
                </w:rPr>
                <w:t xml:space="preserve"> of </w:t>
              </w:r>
              <w:proofErr w:type="spellStart"/>
              <w:r w:rsidR="00FF6B5A" w:rsidRPr="00CB01FF">
                <w:rPr>
                  <w:rFonts w:ascii="Calibri" w:eastAsia="Times New Roman" w:hAnsi="Calibri" w:cs="Times New Roman"/>
                  <w:lang w:eastAsia="sk-SK"/>
                </w:rPr>
                <w:t>creative</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process</w:t>
              </w:r>
              <w:proofErr w:type="spellEnd"/>
              <w:r w:rsidR="00FF6B5A" w:rsidRPr="00CB01FF">
                <w:rPr>
                  <w:rFonts w:ascii="Calibri" w:eastAsia="Times New Roman" w:hAnsi="Calibri" w:cs="Times New Roman"/>
                  <w:lang w:eastAsia="sk-SK"/>
                </w:rPr>
                <w:t xml:space="preserve"> and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lastRenderedPageBreak/>
                <w:t>content</w:t>
              </w:r>
              <w:proofErr w:type="spellEnd"/>
              <w:r w:rsidR="00FF6B5A" w:rsidRPr="00CB01FF">
                <w:rPr>
                  <w:rFonts w:ascii="Calibri" w:eastAsia="Times New Roman" w:hAnsi="Calibri" w:cs="Times New Roman"/>
                  <w:lang w:eastAsia="sk-SK"/>
                </w:rPr>
                <w:t xml:space="preserve"> of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research</w:t>
              </w:r>
              <w:proofErr w:type="spellEnd"/>
              <w:r w:rsidR="00FF6B5A" w:rsidRPr="00CB01FF">
                <w:rPr>
                  <w:rFonts w:ascii="Calibri" w:eastAsia="Times New Roman" w:hAnsi="Calibri" w:cs="Times New Roman"/>
                  <w:lang w:eastAsia="sk-SK"/>
                </w:rPr>
                <w:t>/</w:t>
              </w:r>
              <w:proofErr w:type="spellStart"/>
              <w:r w:rsidR="00FF6B5A" w:rsidRPr="00CB01FF">
                <w:rPr>
                  <w:rFonts w:ascii="Calibri" w:eastAsia="Times New Roman" w:hAnsi="Calibri" w:cs="Times New Roman"/>
                  <w:lang w:eastAsia="sk-SK"/>
                </w:rPr>
                <w:t>artistic</w:t>
              </w:r>
              <w:proofErr w:type="spellEnd"/>
              <w:r w:rsidR="00FF6B5A" w:rsidRPr="00CB01FF">
                <w:rPr>
                  <w:rFonts w:ascii="Calibri" w:eastAsia="Times New Roman" w:hAnsi="Calibri" w:cs="Times New Roman"/>
                  <w:lang w:eastAsia="sk-SK"/>
                </w:rPr>
                <w:t>/</w:t>
              </w:r>
              <w:proofErr w:type="spellStart"/>
              <w:r w:rsidR="00FF6B5A" w:rsidRPr="00CB01FF">
                <w:rPr>
                  <w:rFonts w:ascii="Calibri" w:eastAsia="Times New Roman" w:hAnsi="Calibri" w:cs="Times New Roman"/>
                  <w:lang w:eastAsia="sk-SK"/>
                </w:rPr>
                <w:t>other</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activity</w:t>
              </w:r>
              <w:proofErr w:type="spellEnd"/>
              <w:r w:rsidR="00FF6B5A" w:rsidRPr="00CB01FF">
                <w:rPr>
                  <w:rFonts w:ascii="Calibri" w:eastAsia="Times New Roman" w:hAnsi="Calibri" w:cs="Times New Roman"/>
                  <w:lang w:eastAsia="sk-SK"/>
                </w:rPr>
                <w:t xml:space="preserve">, etc. </w:t>
              </w:r>
              <w:r w:rsidR="00532FE9" w:rsidRPr="00CB01FF">
                <w:rPr>
                  <w:rStyle w:val="Odkaznapoznmkupodiarou"/>
                  <w:rFonts w:ascii="Calibri" w:eastAsia="Times New Roman" w:hAnsi="Calibri" w:cs="Times New Roman"/>
                  <w:lang w:eastAsia="sk-SK"/>
                </w:rPr>
                <w:footnoteReference w:id="8"/>
              </w:r>
              <w:r w:rsidR="00FF6B5A" w:rsidRPr="00CB01FF">
                <w:rPr>
                  <w:rFonts w:ascii="Calibri" w:eastAsia="Times New Roman" w:hAnsi="Calibri" w:cs="Times New Roman"/>
                  <w:lang w:eastAsia="sk-SK"/>
                </w:rPr>
                <w:br w:type="page"/>
              </w:r>
              <w:r w:rsidR="00FF6B5A" w:rsidRPr="00CB01FF">
                <w:rPr>
                  <w:rFonts w:ascii="Calibri" w:eastAsia="Times New Roman" w:hAnsi="Calibri" w:cs="Times New Roman"/>
                  <w:i/>
                  <w:iCs/>
                  <w:color w:val="808080"/>
                  <w:lang w:eastAsia="sk-SK"/>
                </w:rPr>
                <w:t xml:space="preserve">Rozsah do 200 slov v slovenskom jazyku / </w:t>
              </w:r>
              <w:proofErr w:type="spellStart"/>
              <w:r w:rsidR="00FF6B5A" w:rsidRPr="00CB01FF">
                <w:rPr>
                  <w:rFonts w:ascii="Calibri" w:eastAsia="Times New Roman" w:hAnsi="Calibri" w:cs="Times New Roman"/>
                  <w:i/>
                  <w:iCs/>
                  <w:color w:val="808080"/>
                  <w:lang w:eastAsia="sk-SK"/>
                </w:rPr>
                <w:t>Range</w:t>
              </w:r>
              <w:proofErr w:type="spellEnd"/>
              <w:r w:rsidR="00FF6B5A" w:rsidRPr="00CB01FF">
                <w:rPr>
                  <w:rFonts w:ascii="Calibri" w:eastAsia="Times New Roman" w:hAnsi="Calibri" w:cs="Times New Roman"/>
                  <w:i/>
                  <w:iCs/>
                  <w:color w:val="808080"/>
                  <w:lang w:eastAsia="sk-SK"/>
                </w:rPr>
                <w:t xml:space="preserve"> </w:t>
              </w:r>
              <w:proofErr w:type="spellStart"/>
              <w:r w:rsidR="00FF6B5A" w:rsidRPr="00CB01FF">
                <w:rPr>
                  <w:rFonts w:ascii="Calibri" w:eastAsia="Times New Roman" w:hAnsi="Calibri" w:cs="Times New Roman"/>
                  <w:i/>
                  <w:iCs/>
                  <w:color w:val="808080"/>
                  <w:lang w:eastAsia="sk-SK"/>
                </w:rPr>
                <w:t>up</w:t>
              </w:r>
              <w:proofErr w:type="spellEnd"/>
              <w:r w:rsidR="00FF6B5A" w:rsidRPr="00CB01FF">
                <w:rPr>
                  <w:rFonts w:ascii="Calibri" w:eastAsia="Times New Roman" w:hAnsi="Calibri" w:cs="Times New Roman"/>
                  <w:i/>
                  <w:iCs/>
                  <w:color w:val="808080"/>
                  <w:lang w:eastAsia="sk-SK"/>
                </w:rPr>
                <w:t xml:space="preserve"> to 200 </w:t>
              </w:r>
              <w:proofErr w:type="spellStart"/>
              <w:r w:rsidR="00FF6B5A" w:rsidRPr="00CB01FF">
                <w:rPr>
                  <w:rFonts w:ascii="Calibri" w:eastAsia="Times New Roman" w:hAnsi="Calibri" w:cs="Times New Roman"/>
                  <w:i/>
                  <w:iCs/>
                  <w:color w:val="808080"/>
                  <w:lang w:eastAsia="sk-SK"/>
                </w:rPr>
                <w:t>words</w:t>
              </w:r>
              <w:proofErr w:type="spellEnd"/>
              <w:r w:rsidR="00FF6B5A" w:rsidRPr="00CB01FF">
                <w:rPr>
                  <w:rFonts w:ascii="Calibri" w:eastAsia="Times New Roman" w:hAnsi="Calibri" w:cs="Times New Roman"/>
                  <w:i/>
                  <w:iCs/>
                  <w:color w:val="808080"/>
                  <w:lang w:eastAsia="sk-SK"/>
                </w:rPr>
                <w:t xml:space="preserve"> in Slovak</w:t>
              </w:r>
              <w:r w:rsidR="00FF6B5A" w:rsidRPr="00CB01FF">
                <w:rPr>
                  <w:rFonts w:ascii="Calibri" w:eastAsia="Times New Roman" w:hAnsi="Calibri" w:cs="Times New Roman"/>
                  <w:i/>
                  <w:iCs/>
                  <w:color w:val="808080"/>
                  <w:lang w:eastAsia="sk-SK"/>
                </w:rPr>
                <w:br w:type="page"/>
                <w:t xml:space="preserve">Rozsah do 200 slov v anglickom jazyku / </w:t>
              </w:r>
              <w:proofErr w:type="spellStart"/>
              <w:r w:rsidR="00FF6B5A" w:rsidRPr="00CB01FF">
                <w:rPr>
                  <w:rFonts w:ascii="Calibri" w:eastAsia="Times New Roman" w:hAnsi="Calibri" w:cs="Times New Roman"/>
                  <w:i/>
                  <w:iCs/>
                  <w:color w:val="808080"/>
                  <w:lang w:eastAsia="sk-SK"/>
                </w:rPr>
                <w:t>Range</w:t>
              </w:r>
              <w:proofErr w:type="spellEnd"/>
              <w:r w:rsidR="00FF6B5A" w:rsidRPr="00CB01FF">
                <w:rPr>
                  <w:rFonts w:ascii="Calibri" w:eastAsia="Times New Roman" w:hAnsi="Calibri" w:cs="Times New Roman"/>
                  <w:i/>
                  <w:iCs/>
                  <w:color w:val="808080"/>
                  <w:lang w:eastAsia="sk-SK"/>
                </w:rPr>
                <w:t xml:space="preserve"> </w:t>
              </w:r>
              <w:proofErr w:type="spellStart"/>
              <w:r w:rsidR="00FF6B5A" w:rsidRPr="00CB01FF">
                <w:rPr>
                  <w:rFonts w:ascii="Calibri" w:eastAsia="Times New Roman" w:hAnsi="Calibri" w:cs="Times New Roman"/>
                  <w:i/>
                  <w:iCs/>
                  <w:color w:val="808080"/>
                  <w:lang w:eastAsia="sk-SK"/>
                </w:rPr>
                <w:t>up</w:t>
              </w:r>
              <w:proofErr w:type="spellEnd"/>
              <w:r w:rsidR="00FF6B5A" w:rsidRPr="00CB01FF">
                <w:rPr>
                  <w:rFonts w:ascii="Calibri" w:eastAsia="Times New Roman" w:hAnsi="Calibri" w:cs="Times New Roman"/>
                  <w:i/>
                  <w:iCs/>
                  <w:color w:val="808080"/>
                  <w:lang w:eastAsia="sk-SK"/>
                </w:rPr>
                <w:t xml:space="preserve"> to 200 </w:t>
              </w:r>
              <w:proofErr w:type="spellStart"/>
              <w:r w:rsidR="00FF6B5A" w:rsidRPr="00CB01FF">
                <w:rPr>
                  <w:rFonts w:ascii="Calibri" w:eastAsia="Times New Roman" w:hAnsi="Calibri" w:cs="Times New Roman"/>
                  <w:i/>
                  <w:iCs/>
                  <w:color w:val="808080"/>
                  <w:lang w:eastAsia="sk-SK"/>
                </w:rPr>
                <w:t>words</w:t>
              </w:r>
              <w:proofErr w:type="spellEnd"/>
              <w:r w:rsidR="00FF6B5A" w:rsidRPr="00CB01FF">
                <w:rPr>
                  <w:rFonts w:ascii="Calibri" w:eastAsia="Times New Roman" w:hAnsi="Calibri" w:cs="Times New Roman"/>
                  <w:i/>
                  <w:iCs/>
                  <w:color w:val="808080"/>
                  <w:lang w:eastAsia="sk-SK"/>
                </w:rPr>
                <w:t xml:space="preserve"> in English </w:t>
              </w:r>
            </w:hyperlink>
          </w:p>
        </w:tc>
        <w:tc>
          <w:tcPr>
            <w:tcW w:w="0" w:type="auto"/>
            <w:hideMark/>
          </w:tcPr>
          <w:p w14:paraId="4CA02DEC" w14:textId="77777777" w:rsidR="00A16994" w:rsidRDefault="00A16994" w:rsidP="00A16994">
            <w:pPr>
              <w:jc w:val="both"/>
            </w:pPr>
            <w:r>
              <w:lastRenderedPageBreak/>
              <w:t xml:space="preserve">Článok vznikol </w:t>
            </w:r>
            <w:r w:rsidRPr="001E1ACB">
              <w:t>s podporou Agentúry na podporu výskumu a vývoja SR</w:t>
            </w:r>
            <w:r>
              <w:t xml:space="preserve"> v rámci riešenia projektu č. </w:t>
            </w:r>
            <w:r w:rsidRPr="001E1ACB">
              <w:t>APVV-18-0337.</w:t>
            </w:r>
            <w:r>
              <w:t xml:space="preserve"> Autori v článku porovnávali rôzne prístupy k implementácii </w:t>
            </w:r>
            <w:r w:rsidRPr="001E1ACB">
              <w:t>Sm</w:t>
            </w:r>
            <w:r>
              <w:t>e</w:t>
            </w:r>
            <w:r w:rsidRPr="001E1ACB">
              <w:t>rnice E</w:t>
            </w:r>
            <w:r>
              <w:t>u</w:t>
            </w:r>
            <w:r w:rsidRPr="001E1ACB">
              <w:t>r</w:t>
            </w:r>
            <w:r>
              <w:t>ó</w:t>
            </w:r>
            <w:r w:rsidRPr="001E1ACB">
              <w:t>psk</w:t>
            </w:r>
            <w:r>
              <w:t>e</w:t>
            </w:r>
            <w:r w:rsidRPr="001E1ACB">
              <w:t>ho parlamentu a Rady (EU) 2019/1023 z</w:t>
            </w:r>
            <w:r>
              <w:t>o</w:t>
            </w:r>
            <w:r w:rsidRPr="001E1ACB">
              <w:t xml:space="preserve"> d</w:t>
            </w:r>
            <w:r>
              <w:t>ňa</w:t>
            </w:r>
            <w:r w:rsidRPr="001E1ACB">
              <w:t xml:space="preserve"> 20. 6. 2019</w:t>
            </w:r>
            <w:r>
              <w:t xml:space="preserve">. Je zameraný na základné ale kľúčové otázky preventívnej reštrukturalizácie. Konkrétne na otázky </w:t>
            </w:r>
            <w:r w:rsidRPr="00795033">
              <w:t>k</w:t>
            </w:r>
            <w:r>
              <w:t>edy</w:t>
            </w:r>
            <w:r w:rsidRPr="00795033">
              <w:t xml:space="preserve"> a</w:t>
            </w:r>
            <w:r>
              <w:t> </w:t>
            </w:r>
            <w:r w:rsidRPr="00795033">
              <w:t>za</w:t>
            </w:r>
            <w:r>
              <w:t xml:space="preserve"> splnenia akých predpokladov môžu </w:t>
            </w:r>
            <w:r w:rsidRPr="00795033">
              <w:t>obchodn</w:t>
            </w:r>
            <w:r>
              <w:t xml:space="preserve">é </w:t>
            </w:r>
            <w:r w:rsidRPr="00795033">
              <w:t>spol</w:t>
            </w:r>
            <w:r>
              <w:t>o</w:t>
            </w:r>
            <w:r w:rsidRPr="00795033">
              <w:t>čnosti</w:t>
            </w:r>
            <w:r>
              <w:t xml:space="preserve"> </w:t>
            </w:r>
            <w:r w:rsidRPr="00795033">
              <w:t>prevent</w:t>
            </w:r>
            <w:r>
              <w:t>í</w:t>
            </w:r>
            <w:r w:rsidRPr="00795033">
              <w:t>vn</w:t>
            </w:r>
            <w:r>
              <w:t>u</w:t>
            </w:r>
            <w:r w:rsidRPr="00795033">
              <w:t xml:space="preserve"> </w:t>
            </w:r>
            <w:r>
              <w:t xml:space="preserve">reštrukturalizáciu </w:t>
            </w:r>
            <w:r w:rsidRPr="00795033">
              <w:t>využ</w:t>
            </w:r>
            <w:r>
              <w:t>iť</w:t>
            </w:r>
            <w:r w:rsidRPr="00795033">
              <w:t>, aký dopad m</w:t>
            </w:r>
            <w:r>
              <w:t>á ponuka</w:t>
            </w:r>
            <w:r w:rsidRPr="00795033">
              <w:t xml:space="preserve"> nového nástroj</w:t>
            </w:r>
            <w:r>
              <w:t>a</w:t>
            </w:r>
            <w:r w:rsidRPr="00795033">
              <w:t xml:space="preserve"> a jeho právn</w:t>
            </w:r>
            <w:r>
              <w:t xml:space="preserve">a </w:t>
            </w:r>
            <w:r w:rsidRPr="00795033">
              <w:t>úprava na povinnosti</w:t>
            </w:r>
            <w:r>
              <w:t xml:space="preserve"> š</w:t>
            </w:r>
            <w:r w:rsidRPr="00795033">
              <w:t>tatutárn</w:t>
            </w:r>
            <w:r>
              <w:t>e</w:t>
            </w:r>
            <w:r w:rsidRPr="00795033">
              <w:t>ho orgánu p</w:t>
            </w:r>
            <w:r>
              <w:t>r</w:t>
            </w:r>
            <w:r w:rsidRPr="00795033">
              <w:t>i hroz</w:t>
            </w:r>
            <w:r>
              <w:t>ia</w:t>
            </w:r>
            <w:r w:rsidRPr="00795033">
              <w:t>c</w:t>
            </w:r>
            <w:r>
              <w:t>o</w:t>
            </w:r>
            <w:r w:rsidRPr="00795033">
              <w:t>m úpadku a v</w:t>
            </w:r>
            <w:r>
              <w:t> </w:t>
            </w:r>
            <w:r w:rsidRPr="00795033">
              <w:t>č</w:t>
            </w:r>
            <w:r>
              <w:t>o</w:t>
            </w:r>
            <w:r w:rsidRPr="00795033">
              <w:t>m</w:t>
            </w:r>
            <w:r>
              <w:t xml:space="preserve"> </w:t>
            </w:r>
            <w:r w:rsidRPr="00795033">
              <w:t>s</w:t>
            </w:r>
            <w:r>
              <w:t>a</w:t>
            </w:r>
            <w:r w:rsidRPr="00795033">
              <w:t xml:space="preserve"> </w:t>
            </w:r>
            <w:r>
              <w:t>z</w:t>
            </w:r>
            <w:r w:rsidRPr="00795033">
              <w:t xml:space="preserve">hoduje nebo odlišuje české a slovenské </w:t>
            </w:r>
            <w:r>
              <w:t>ri</w:t>
            </w:r>
            <w:r w:rsidRPr="00795033">
              <w:t>ešen</w:t>
            </w:r>
            <w:r>
              <w:t>ie</w:t>
            </w:r>
            <w:r w:rsidRPr="00795033">
              <w:t xml:space="preserve">. </w:t>
            </w:r>
            <w:r>
              <w:t xml:space="preserve">V článku súčasne autori pracovali s námetmi, ktoré priniesli spôsoby transpozície tejto smernice v Holandsku, Nemecku a Rakúsku. </w:t>
            </w:r>
          </w:p>
          <w:p w14:paraId="6D13AE23" w14:textId="639C8F8A" w:rsidR="00422600" w:rsidRPr="00A16994" w:rsidRDefault="00422600" w:rsidP="004F6F4A">
            <w:pPr>
              <w:spacing w:after="0" w:line="240" w:lineRule="auto"/>
              <w:rPr>
                <w:rFonts w:eastAsia="Times New Roman" w:cstheme="minorHAnsi"/>
                <w:color w:val="000000"/>
                <w:lang w:eastAsia="sk-SK"/>
              </w:rPr>
            </w:pPr>
          </w:p>
        </w:tc>
      </w:tr>
      <w:tr w:rsidR="00FF6B5A" w:rsidRPr="00FF6B5A" w14:paraId="0E3A4A1E" w14:textId="77777777" w:rsidTr="3CD2FA5F">
        <w:trPr>
          <w:trHeight w:val="915"/>
        </w:trPr>
        <w:tc>
          <w:tcPr>
            <w:tcW w:w="0" w:type="auto"/>
            <w:vAlign w:val="bottom"/>
            <w:hideMark/>
          </w:tcPr>
          <w:p w14:paraId="2208630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6CCB09B" w14:textId="77777777" w:rsidR="00FF6B5A" w:rsidRPr="00FF6B5A" w:rsidRDefault="007102E7" w:rsidP="00532FE9">
            <w:pPr>
              <w:spacing w:after="0" w:line="240" w:lineRule="auto"/>
              <w:rPr>
                <w:rFonts w:ascii="Calibri" w:eastAsia="Times New Roman" w:hAnsi="Calibri" w:cs="Times New Roman"/>
                <w:lang w:eastAsia="sk-SK"/>
              </w:rPr>
            </w:pPr>
            <w:hyperlink r:id="rId25"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tcPr>
          <w:p w14:paraId="21A2B30A" w14:textId="77777777" w:rsidR="00A16994" w:rsidRPr="004D544C" w:rsidRDefault="00A16994" w:rsidP="00A16994">
            <w:pPr>
              <w:jc w:val="both"/>
            </w:pPr>
            <w:r w:rsidRPr="004D544C">
              <w:rPr>
                <w:lang w:val="en"/>
              </w:rPr>
              <w:t>The article was created with the support of the Agency for the Promotion of Research and Development of the Slovak Republic within the framework of project No. APVV-18-0337. In the article, the authors compared different approaches to the implementation of Directive (EU) 2019/1023 of the European Parliament and of the Council of 20 June 2019. It focuses on basic but key issues of preventive restructuring. Specifically, on the questions of when and under what conditions can companies use preventive restructuring, what impact does the offer of a new instrument and its legal regulation have on the obligations of the statutory body in the event of imminent bankruptcy, and what are the similarities or differences between the Czech and Slovak solutions. In the article, the authors also worked with the topics brought by the methods of transposition of this directive in the Netherlands, Germany and Austria.</w:t>
            </w:r>
          </w:p>
          <w:p w14:paraId="45D4C299" w14:textId="4DD3D7DF" w:rsidR="00422600" w:rsidRPr="00A16994" w:rsidRDefault="00422600" w:rsidP="004F6F4A">
            <w:pPr>
              <w:spacing w:after="0" w:line="240" w:lineRule="auto"/>
              <w:rPr>
                <w:rFonts w:eastAsia="Times New Roman" w:cstheme="minorHAnsi"/>
                <w:color w:val="000000"/>
                <w:lang w:eastAsia="sk-SK"/>
              </w:rPr>
            </w:pPr>
          </w:p>
        </w:tc>
      </w:tr>
      <w:tr w:rsidR="00FF6B5A" w:rsidRPr="00FF6B5A" w14:paraId="715A9106" w14:textId="77777777" w:rsidTr="3CD2FA5F">
        <w:trPr>
          <w:trHeight w:val="810"/>
        </w:trPr>
        <w:tc>
          <w:tcPr>
            <w:tcW w:w="0" w:type="auto"/>
            <w:vAlign w:val="bottom"/>
            <w:hideMark/>
          </w:tcPr>
          <w:p w14:paraId="6D3A0EE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675AA1F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hideMark/>
          </w:tcPr>
          <w:p w14:paraId="704A5EB6" w14:textId="77777777" w:rsidR="00F83BCB" w:rsidRDefault="00964472" w:rsidP="005A1E5C">
            <w:pPr>
              <w:spacing w:after="0" w:line="240" w:lineRule="auto"/>
              <w:rPr>
                <w:rFonts w:eastAsia="Times New Roman" w:cstheme="minorHAnsi"/>
                <w:color w:val="000000"/>
                <w:lang w:eastAsia="sk-SK"/>
              </w:rPr>
            </w:pPr>
            <w:r w:rsidRPr="00964472">
              <w:rPr>
                <w:rFonts w:eastAsia="Times New Roman" w:cstheme="minorHAnsi"/>
                <w:color w:val="000000"/>
                <w:lang w:eastAsia="sk-SK"/>
              </w:rPr>
              <w:t xml:space="preserve">527533: </w:t>
            </w:r>
            <w:proofErr w:type="spellStart"/>
            <w:r w:rsidRPr="00964472">
              <w:rPr>
                <w:rFonts w:eastAsia="Times New Roman" w:cstheme="minorHAnsi"/>
                <w:color w:val="000000"/>
                <w:lang w:eastAsia="sk-SK"/>
              </w:rPr>
              <w:t>Preventivní</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restrukturalizace</w:t>
            </w:r>
            <w:proofErr w:type="spellEnd"/>
            <w:r w:rsidRPr="00964472">
              <w:rPr>
                <w:rFonts w:eastAsia="Times New Roman" w:cstheme="minorHAnsi"/>
                <w:color w:val="000000"/>
                <w:lang w:eastAsia="sk-SK"/>
              </w:rPr>
              <w:t xml:space="preserve"> - </w:t>
            </w:r>
            <w:proofErr w:type="spellStart"/>
            <w:r w:rsidRPr="00964472">
              <w:rPr>
                <w:rFonts w:eastAsia="Times New Roman" w:cstheme="minorHAnsi"/>
                <w:color w:val="000000"/>
                <w:lang w:eastAsia="sk-SK"/>
              </w:rPr>
              <w:t>procesualistický</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pohled</w:t>
            </w:r>
            <w:proofErr w:type="spellEnd"/>
            <w:r w:rsidRPr="00964472">
              <w:rPr>
                <w:rFonts w:eastAsia="Times New Roman" w:cstheme="minorHAnsi"/>
                <w:color w:val="000000"/>
                <w:lang w:eastAsia="sk-SK"/>
              </w:rPr>
              <w:t xml:space="preserve"> / </w:t>
            </w:r>
            <w:proofErr w:type="spellStart"/>
            <w:r w:rsidRPr="00964472">
              <w:rPr>
                <w:rFonts w:eastAsia="Times New Roman" w:cstheme="minorHAnsi"/>
                <w:color w:val="000000"/>
                <w:lang w:eastAsia="sk-SK"/>
              </w:rPr>
              <w:t>Pondikasová</w:t>
            </w:r>
            <w:proofErr w:type="spellEnd"/>
            <w:r w:rsidRPr="00964472">
              <w:rPr>
                <w:rFonts w:eastAsia="Times New Roman" w:cstheme="minorHAnsi"/>
                <w:color w:val="000000"/>
                <w:lang w:eastAsia="sk-SK"/>
              </w:rPr>
              <w:t xml:space="preserve">, Tereza (Autor) ; </w:t>
            </w:r>
            <w:proofErr w:type="spellStart"/>
            <w:r w:rsidRPr="00964472">
              <w:rPr>
                <w:rFonts w:eastAsia="Times New Roman" w:cstheme="minorHAnsi"/>
                <w:color w:val="000000"/>
                <w:lang w:eastAsia="sk-SK"/>
              </w:rPr>
              <w:t>Zemandlová</w:t>
            </w:r>
            <w:proofErr w:type="spellEnd"/>
            <w:r w:rsidRPr="00964472">
              <w:rPr>
                <w:rFonts w:eastAsia="Times New Roman" w:cstheme="minorHAnsi"/>
                <w:color w:val="000000"/>
                <w:lang w:eastAsia="sk-SK"/>
              </w:rPr>
              <w:t>, Anna (Autor) . – [recenzované].</w:t>
            </w:r>
            <w:r w:rsidRPr="00964472">
              <w:rPr>
                <w:rFonts w:eastAsia="Times New Roman" w:cstheme="minorHAnsi"/>
                <w:color w:val="000000"/>
                <w:lang w:eastAsia="sk-SK"/>
              </w:rPr>
              <w:br/>
            </w:r>
            <w:r w:rsidRPr="00964472">
              <w:rPr>
                <w:rFonts w:eastAsia="Times New Roman" w:cstheme="minorHAnsi"/>
                <w:b/>
                <w:bCs/>
                <w:color w:val="000000"/>
                <w:lang w:eastAsia="sk-SK"/>
              </w:rPr>
              <w:t>In:</w:t>
            </w:r>
            <w:r w:rsidRPr="00964472">
              <w:rPr>
                <w:rFonts w:eastAsia="Times New Roman" w:cstheme="minorHAnsi"/>
                <w:color w:val="000000"/>
                <w:lang w:eastAsia="sk-SK"/>
              </w:rPr>
              <w:t> </w:t>
            </w:r>
            <w:proofErr w:type="spellStart"/>
            <w:r w:rsidRPr="00964472">
              <w:rPr>
                <w:rFonts w:eastAsia="Times New Roman" w:cstheme="minorHAnsi"/>
                <w:i/>
                <w:iCs/>
                <w:color w:val="000000"/>
                <w:lang w:eastAsia="sk-SK"/>
              </w:rPr>
              <w:t>Právní</w:t>
            </w:r>
            <w:proofErr w:type="spellEnd"/>
            <w:r w:rsidRPr="00964472">
              <w:rPr>
                <w:rFonts w:eastAsia="Times New Roman" w:cstheme="minorHAnsi"/>
                <w:i/>
                <w:iCs/>
                <w:color w:val="000000"/>
                <w:lang w:eastAsia="sk-SK"/>
              </w:rPr>
              <w:t xml:space="preserve"> </w:t>
            </w:r>
            <w:proofErr w:type="spellStart"/>
            <w:r w:rsidRPr="00964472">
              <w:rPr>
                <w:rFonts w:eastAsia="Times New Roman" w:cstheme="minorHAnsi"/>
                <w:i/>
                <w:iCs/>
                <w:color w:val="000000"/>
                <w:lang w:eastAsia="sk-SK"/>
              </w:rPr>
              <w:t>rozhledy</w:t>
            </w:r>
            <w:proofErr w:type="spellEnd"/>
            <w:r w:rsidRPr="00964472">
              <w:rPr>
                <w:rFonts w:eastAsia="Times New Roman" w:cstheme="minorHAnsi"/>
                <w:color w:val="000000"/>
                <w:lang w:eastAsia="sk-SK"/>
              </w:rPr>
              <w:t> [textový dokument (</w:t>
            </w:r>
            <w:proofErr w:type="spellStart"/>
            <w:r w:rsidRPr="00964472">
              <w:rPr>
                <w:rFonts w:eastAsia="Times New Roman" w:cstheme="minorHAnsi"/>
                <w:color w:val="000000"/>
                <w:lang w:eastAsia="sk-SK"/>
              </w:rPr>
              <w:t>print</w:t>
            </w:r>
            <w:proofErr w:type="spellEnd"/>
            <w:r w:rsidRPr="00964472">
              <w:rPr>
                <w:rFonts w:eastAsia="Times New Roman" w:cstheme="minorHAnsi"/>
                <w:color w:val="000000"/>
                <w:lang w:eastAsia="sk-SK"/>
              </w:rPr>
              <w:t xml:space="preserve">)] : časopis pro </w:t>
            </w:r>
            <w:proofErr w:type="spellStart"/>
            <w:r w:rsidRPr="00964472">
              <w:rPr>
                <w:rFonts w:eastAsia="Times New Roman" w:cstheme="minorHAnsi"/>
                <w:color w:val="000000"/>
                <w:lang w:eastAsia="sk-SK"/>
              </w:rPr>
              <w:t>všechna</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právní</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odvětví</w:t>
            </w:r>
            <w:proofErr w:type="spellEnd"/>
            <w:r w:rsidRPr="00964472">
              <w:rPr>
                <w:rFonts w:eastAsia="Times New Roman" w:cstheme="minorHAnsi"/>
                <w:color w:val="000000"/>
                <w:lang w:eastAsia="sk-SK"/>
              </w:rPr>
              <w:t xml:space="preserve">. – Praha (Česko) : C.H. </w:t>
            </w:r>
            <w:proofErr w:type="spellStart"/>
            <w:r w:rsidRPr="00964472">
              <w:rPr>
                <w:rFonts w:eastAsia="Times New Roman" w:cstheme="minorHAnsi"/>
                <w:color w:val="000000"/>
                <w:lang w:eastAsia="sk-SK"/>
              </w:rPr>
              <w:t>Beck</w:t>
            </w:r>
            <w:proofErr w:type="spellEnd"/>
            <w:r w:rsidRPr="00964472">
              <w:rPr>
                <w:rFonts w:eastAsia="Times New Roman" w:cstheme="minorHAnsi"/>
                <w:color w:val="000000"/>
                <w:lang w:eastAsia="sk-SK"/>
              </w:rPr>
              <w:t>. – ISSN 1210-6410. – Roč. 30, č. 20 (2022), s. 702-704 [tlačená forma]</w:t>
            </w:r>
          </w:p>
          <w:p w14:paraId="55F17970" w14:textId="77777777" w:rsidR="00964472" w:rsidRDefault="00964472" w:rsidP="005A1E5C">
            <w:pPr>
              <w:spacing w:after="0" w:line="240" w:lineRule="auto"/>
              <w:rPr>
                <w:rFonts w:eastAsia="Times New Roman" w:cstheme="minorHAnsi"/>
                <w:color w:val="000000"/>
                <w:lang w:eastAsia="sk-SK"/>
              </w:rPr>
            </w:pPr>
            <w:r w:rsidRPr="00964472">
              <w:rPr>
                <w:rFonts w:eastAsia="Times New Roman" w:cstheme="minorHAnsi"/>
                <w:color w:val="000000"/>
                <w:lang w:eastAsia="sk-SK"/>
              </w:rPr>
              <w:t xml:space="preserve">1006820: O ingerencií verejnej moci pri preventívnej reštrukturalizácií = </w:t>
            </w:r>
            <w:proofErr w:type="spellStart"/>
            <w:r w:rsidRPr="00964472">
              <w:rPr>
                <w:rFonts w:eastAsia="Times New Roman" w:cstheme="minorHAnsi"/>
                <w:color w:val="000000"/>
                <w:lang w:eastAsia="sk-SK"/>
              </w:rPr>
              <w:t>Public</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authority</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intervention</w:t>
            </w:r>
            <w:proofErr w:type="spellEnd"/>
            <w:r w:rsidRPr="00964472">
              <w:rPr>
                <w:rFonts w:eastAsia="Times New Roman" w:cstheme="minorHAnsi"/>
                <w:color w:val="000000"/>
                <w:lang w:eastAsia="sk-SK"/>
              </w:rPr>
              <w:t xml:space="preserve"> in </w:t>
            </w:r>
            <w:proofErr w:type="spellStart"/>
            <w:r w:rsidRPr="00964472">
              <w:rPr>
                <w:rFonts w:eastAsia="Times New Roman" w:cstheme="minorHAnsi"/>
                <w:color w:val="000000"/>
                <w:lang w:eastAsia="sk-SK"/>
              </w:rPr>
              <w:t>preventive</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restructuring</w:t>
            </w:r>
            <w:proofErr w:type="spellEnd"/>
            <w:r w:rsidRPr="00964472">
              <w:rPr>
                <w:rFonts w:eastAsia="Times New Roman" w:cstheme="minorHAnsi"/>
                <w:color w:val="000000"/>
                <w:lang w:eastAsia="sk-SK"/>
              </w:rPr>
              <w:t xml:space="preserve"> / </w:t>
            </w:r>
            <w:proofErr w:type="spellStart"/>
            <w:r w:rsidRPr="00964472">
              <w:rPr>
                <w:rFonts w:eastAsia="Times New Roman" w:cstheme="minorHAnsi"/>
                <w:color w:val="000000"/>
                <w:lang w:eastAsia="sk-SK"/>
              </w:rPr>
              <w:t>Cukerová</w:t>
            </w:r>
            <w:proofErr w:type="spellEnd"/>
            <w:r w:rsidRPr="00964472">
              <w:rPr>
                <w:rFonts w:eastAsia="Times New Roman" w:cstheme="minorHAnsi"/>
                <w:color w:val="000000"/>
                <w:lang w:eastAsia="sk-SK"/>
              </w:rPr>
              <w:t>, Dominika (Autor) (100%).</w:t>
            </w:r>
            <w:r w:rsidRPr="00964472">
              <w:rPr>
                <w:rFonts w:eastAsia="Times New Roman" w:cstheme="minorHAnsi"/>
                <w:color w:val="000000"/>
                <w:lang w:eastAsia="sk-SK"/>
              </w:rPr>
              <w:br/>
            </w:r>
            <w:r w:rsidRPr="00964472">
              <w:rPr>
                <w:rFonts w:eastAsia="Times New Roman" w:cstheme="minorHAnsi"/>
                <w:b/>
                <w:bCs/>
                <w:color w:val="000000"/>
                <w:lang w:eastAsia="sk-SK"/>
              </w:rPr>
              <w:t>In:</w:t>
            </w:r>
            <w:r w:rsidRPr="00964472">
              <w:rPr>
                <w:rFonts w:eastAsia="Times New Roman" w:cstheme="minorHAnsi"/>
                <w:color w:val="000000"/>
                <w:lang w:eastAsia="sk-SK"/>
              </w:rPr>
              <w:t> </w:t>
            </w:r>
            <w:r w:rsidRPr="00964472">
              <w:rPr>
                <w:rFonts w:eastAsia="Times New Roman" w:cstheme="minorHAnsi"/>
                <w:i/>
                <w:iCs/>
                <w:color w:val="000000"/>
                <w:lang w:eastAsia="sk-SK"/>
              </w:rPr>
              <w:t>Zásahy verejnej moci do podnikania a obchodovania</w:t>
            </w:r>
            <w:r w:rsidRPr="00964472">
              <w:rPr>
                <w:rFonts w:eastAsia="Times New Roman" w:cstheme="minorHAnsi"/>
                <w:color w:val="000000"/>
                <w:lang w:eastAsia="sk-SK"/>
              </w:rPr>
              <w:t> [textový dokument (</w:t>
            </w:r>
            <w:proofErr w:type="spellStart"/>
            <w:r w:rsidRPr="00964472">
              <w:rPr>
                <w:rFonts w:eastAsia="Times New Roman" w:cstheme="minorHAnsi"/>
                <w:color w:val="000000"/>
                <w:lang w:eastAsia="sk-SK"/>
              </w:rPr>
              <w:t>print</w:t>
            </w:r>
            <w:proofErr w:type="spellEnd"/>
            <w:r w:rsidRPr="00964472">
              <w:rPr>
                <w:rFonts w:eastAsia="Times New Roman" w:cstheme="minorHAnsi"/>
                <w:color w:val="000000"/>
                <w:lang w:eastAsia="sk-SK"/>
              </w:rPr>
              <w:t xml:space="preserve">)] : Pocta profesorovi Jánovi Husárovi / </w:t>
            </w:r>
            <w:proofErr w:type="spellStart"/>
            <w:r w:rsidRPr="00964472">
              <w:rPr>
                <w:rFonts w:eastAsia="Times New Roman" w:cstheme="minorHAnsi"/>
                <w:color w:val="000000"/>
                <w:lang w:eastAsia="sk-SK"/>
              </w:rPr>
              <w:t>Hučková</w:t>
            </w:r>
            <w:proofErr w:type="spellEnd"/>
            <w:r w:rsidRPr="00964472">
              <w:rPr>
                <w:rFonts w:eastAsia="Times New Roman" w:cstheme="minorHAnsi"/>
                <w:color w:val="000000"/>
                <w:lang w:eastAsia="sk-SK"/>
              </w:rPr>
              <w:t xml:space="preserve">, Regina [Zostavovateľ, editor] ; </w:t>
            </w:r>
            <w:proofErr w:type="spellStart"/>
            <w:r w:rsidRPr="00964472">
              <w:rPr>
                <w:rFonts w:eastAsia="Times New Roman" w:cstheme="minorHAnsi"/>
                <w:color w:val="000000"/>
                <w:lang w:eastAsia="sk-SK"/>
              </w:rPr>
              <w:t>Babčák</w:t>
            </w:r>
            <w:proofErr w:type="spellEnd"/>
            <w:r w:rsidRPr="00964472">
              <w:rPr>
                <w:rFonts w:eastAsia="Times New Roman" w:cstheme="minorHAnsi"/>
                <w:color w:val="000000"/>
                <w:lang w:eastAsia="sk-SK"/>
              </w:rPr>
              <w:t xml:space="preserve">, Vladimír [Recenzent] ; </w:t>
            </w:r>
            <w:proofErr w:type="spellStart"/>
            <w:r w:rsidRPr="00964472">
              <w:rPr>
                <w:rFonts w:eastAsia="Times New Roman" w:cstheme="minorHAnsi"/>
                <w:color w:val="000000"/>
                <w:lang w:eastAsia="sk-SK"/>
              </w:rPr>
              <w:t>Bujňáková</w:t>
            </w:r>
            <w:proofErr w:type="spellEnd"/>
            <w:r w:rsidRPr="00964472">
              <w:rPr>
                <w:rFonts w:eastAsia="Times New Roman" w:cstheme="minorHAnsi"/>
                <w:color w:val="000000"/>
                <w:lang w:eastAsia="sk-SK"/>
              </w:rPr>
              <w:t xml:space="preserve">, Mária [Recenzent] ; </w:t>
            </w:r>
            <w:proofErr w:type="spellStart"/>
            <w:r w:rsidRPr="00964472">
              <w:rPr>
                <w:rFonts w:eastAsia="Times New Roman" w:cstheme="minorHAnsi"/>
                <w:color w:val="000000"/>
                <w:lang w:eastAsia="sk-SK"/>
              </w:rPr>
              <w:t>Kubinec</w:t>
            </w:r>
            <w:proofErr w:type="spellEnd"/>
            <w:r w:rsidRPr="00964472">
              <w:rPr>
                <w:rFonts w:eastAsia="Times New Roman" w:cstheme="minorHAnsi"/>
                <w:color w:val="000000"/>
                <w:lang w:eastAsia="sk-SK"/>
              </w:rPr>
              <w:t>, Martin [Recenzent]. – 1. vyd. – Košice (Slovensko) : Univerzita Pavla Jozefa Šafárika v Košiciach, 2022. – ISBN 978-80-574-0155-1, s. 41-51 [tlačená forma]</w:t>
            </w:r>
          </w:p>
          <w:p w14:paraId="21A5F67A" w14:textId="77777777" w:rsidR="00964472" w:rsidRDefault="00964472" w:rsidP="005A1E5C">
            <w:pPr>
              <w:spacing w:after="0" w:line="240" w:lineRule="auto"/>
              <w:rPr>
                <w:rFonts w:eastAsia="Times New Roman" w:cstheme="minorHAnsi"/>
                <w:color w:val="000000"/>
                <w:lang w:eastAsia="sk-SK"/>
              </w:rPr>
            </w:pPr>
            <w:r w:rsidRPr="00964472">
              <w:rPr>
                <w:rFonts w:eastAsia="Times New Roman" w:cstheme="minorHAnsi"/>
                <w:color w:val="000000"/>
                <w:lang w:eastAsia="sk-SK"/>
              </w:rPr>
              <w:t>(</w:t>
            </w:r>
            <w:r w:rsidRPr="00964472">
              <w:rPr>
                <w:rFonts w:eastAsia="Times New Roman" w:cstheme="minorHAnsi"/>
                <w:b/>
                <w:bCs/>
                <w:color w:val="000000"/>
                <w:lang w:eastAsia="sk-SK"/>
              </w:rPr>
              <w:t>KIS:</w:t>
            </w:r>
            <w:r w:rsidRPr="00964472">
              <w:rPr>
                <w:rFonts w:eastAsia="Times New Roman" w:cstheme="minorHAnsi"/>
                <w:color w:val="000000"/>
                <w:lang w:eastAsia="sk-SK"/>
              </w:rPr>
              <w:t xml:space="preserve">UMB B. </w:t>
            </w:r>
            <w:proofErr w:type="spellStart"/>
            <w:r w:rsidRPr="00964472">
              <w:rPr>
                <w:rFonts w:eastAsia="Times New Roman" w:cstheme="minorHAnsi"/>
                <w:color w:val="000000"/>
                <w:lang w:eastAsia="sk-SK"/>
              </w:rPr>
              <w:t>Bystrica_UmbUnCat</w:t>
            </w:r>
            <w:proofErr w:type="spellEnd"/>
            <w:r w:rsidRPr="00964472">
              <w:rPr>
                <w:rFonts w:eastAsia="Times New Roman" w:cstheme="minorHAnsi"/>
                <w:color w:val="000000"/>
                <w:lang w:eastAsia="sk-SK"/>
              </w:rPr>
              <w:t xml:space="preserve">/0308500) 481334: Diskvalifikácia z výkonu funkcie v obchodnom práve [elektronický dokument] [monografia] / Ušiaková, Lenka (Autor) (100%) ; Ďurica, Milan (Recenzent) ; </w:t>
            </w:r>
            <w:proofErr w:type="spellStart"/>
            <w:r w:rsidRPr="00964472">
              <w:rPr>
                <w:rFonts w:eastAsia="Times New Roman" w:cstheme="minorHAnsi"/>
                <w:color w:val="000000"/>
                <w:lang w:eastAsia="sk-SK"/>
              </w:rPr>
              <w:t>Treščáková</w:t>
            </w:r>
            <w:proofErr w:type="spellEnd"/>
            <w:r w:rsidRPr="00964472">
              <w:rPr>
                <w:rFonts w:eastAsia="Times New Roman" w:cstheme="minorHAnsi"/>
                <w:color w:val="000000"/>
                <w:lang w:eastAsia="sk-SK"/>
              </w:rPr>
              <w:t xml:space="preserve">, Diana (Recenzent) ; Dolný, Jaroslav (Recenzent) . – 1. vyd. – Banská Bystrica (Slovensko) : Univerzita Mateja Bela v </w:t>
            </w:r>
            <w:r w:rsidRPr="00964472">
              <w:rPr>
                <w:rFonts w:eastAsia="Times New Roman" w:cstheme="minorHAnsi"/>
                <w:color w:val="000000"/>
                <w:lang w:eastAsia="sk-SK"/>
              </w:rPr>
              <w:lastRenderedPageBreak/>
              <w:t xml:space="preserve">Banskej Bystrici. Vydavateľstvo Univerzity Mateja Bela v Banskej Bystrici - </w:t>
            </w:r>
            <w:proofErr w:type="spellStart"/>
            <w:r w:rsidRPr="00964472">
              <w:rPr>
                <w:rFonts w:eastAsia="Times New Roman" w:cstheme="minorHAnsi"/>
                <w:color w:val="000000"/>
                <w:lang w:eastAsia="sk-SK"/>
              </w:rPr>
              <w:t>Belianum</w:t>
            </w:r>
            <w:proofErr w:type="spellEnd"/>
            <w:r w:rsidRPr="00964472">
              <w:rPr>
                <w:rFonts w:eastAsia="Times New Roman" w:cstheme="minorHAnsi"/>
                <w:color w:val="000000"/>
                <w:lang w:eastAsia="sk-SK"/>
              </w:rPr>
              <w:t>, 2022. – 195 s. [10,12 AH] [online]. – ISBN 978-80-557-1963-4. – DOI 10.24040/2022.9788055719634</w:t>
            </w:r>
          </w:p>
          <w:p w14:paraId="33B1BD3D" w14:textId="77777777" w:rsidR="00964472" w:rsidRDefault="00964472" w:rsidP="005A1E5C">
            <w:pPr>
              <w:spacing w:after="0" w:line="240" w:lineRule="auto"/>
              <w:rPr>
                <w:rFonts w:eastAsia="Times New Roman" w:cstheme="minorHAnsi"/>
                <w:color w:val="000000"/>
                <w:lang w:eastAsia="sk-SK"/>
              </w:rPr>
            </w:pPr>
            <w:r w:rsidRPr="00964472">
              <w:rPr>
                <w:rFonts w:eastAsia="Times New Roman" w:cstheme="minorHAnsi"/>
                <w:color w:val="000000"/>
                <w:lang w:eastAsia="sk-SK"/>
              </w:rPr>
              <w:t xml:space="preserve">1582134: K vybraným </w:t>
            </w:r>
            <w:proofErr w:type="spellStart"/>
            <w:r w:rsidRPr="00964472">
              <w:rPr>
                <w:rFonts w:eastAsia="Times New Roman" w:cstheme="minorHAnsi"/>
                <w:color w:val="000000"/>
                <w:lang w:eastAsia="sk-SK"/>
              </w:rPr>
              <w:t>povinnostem</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členů</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statutárního</w:t>
            </w:r>
            <w:proofErr w:type="spellEnd"/>
            <w:r w:rsidRPr="00964472">
              <w:rPr>
                <w:rFonts w:eastAsia="Times New Roman" w:cstheme="minorHAnsi"/>
                <w:color w:val="000000"/>
                <w:lang w:eastAsia="sk-SK"/>
              </w:rPr>
              <w:t xml:space="preserve"> orgánu obchodní </w:t>
            </w:r>
            <w:proofErr w:type="spellStart"/>
            <w:r w:rsidRPr="00964472">
              <w:rPr>
                <w:rFonts w:eastAsia="Times New Roman" w:cstheme="minorHAnsi"/>
                <w:color w:val="000000"/>
                <w:lang w:eastAsia="sk-SK"/>
              </w:rPr>
              <w:t>korporace</w:t>
            </w:r>
            <w:proofErr w:type="spellEnd"/>
            <w:r w:rsidRPr="00964472">
              <w:rPr>
                <w:rFonts w:eastAsia="Times New Roman" w:cstheme="minorHAnsi"/>
                <w:color w:val="000000"/>
                <w:lang w:eastAsia="sk-SK"/>
              </w:rPr>
              <w:t xml:space="preserve"> v </w:t>
            </w:r>
            <w:proofErr w:type="spellStart"/>
            <w:r w:rsidRPr="00964472">
              <w:rPr>
                <w:rFonts w:eastAsia="Times New Roman" w:cstheme="minorHAnsi"/>
                <w:color w:val="000000"/>
                <w:lang w:eastAsia="sk-SK"/>
              </w:rPr>
              <w:t>hospodářských</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problémech</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aneb</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blíže</w:t>
            </w:r>
            <w:proofErr w:type="spellEnd"/>
            <w:r w:rsidRPr="00964472">
              <w:rPr>
                <w:rFonts w:eastAsia="Times New Roman" w:cstheme="minorHAnsi"/>
                <w:color w:val="000000"/>
                <w:lang w:eastAsia="sk-SK"/>
              </w:rPr>
              <w:t xml:space="preserve"> k </w:t>
            </w:r>
            <w:proofErr w:type="spellStart"/>
            <w:r w:rsidRPr="00964472">
              <w:rPr>
                <w:rFonts w:eastAsia="Times New Roman" w:cstheme="minorHAnsi"/>
                <w:color w:val="000000"/>
                <w:lang w:eastAsia="sk-SK"/>
              </w:rPr>
              <w:t>preventivní</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restrukturalizaci</w:t>
            </w:r>
            <w:proofErr w:type="spellEnd"/>
            <w:r w:rsidRPr="00964472">
              <w:rPr>
                <w:rFonts w:eastAsia="Times New Roman" w:cstheme="minorHAnsi"/>
                <w:color w:val="000000"/>
                <w:lang w:eastAsia="sk-SK"/>
              </w:rPr>
              <w:t xml:space="preserve"> / </w:t>
            </w:r>
            <w:proofErr w:type="spellStart"/>
            <w:r w:rsidRPr="00964472">
              <w:rPr>
                <w:rFonts w:eastAsia="Times New Roman" w:cstheme="minorHAnsi"/>
                <w:color w:val="000000"/>
                <w:lang w:eastAsia="sk-SK"/>
              </w:rPr>
              <w:t>Václavíková</w:t>
            </w:r>
            <w:proofErr w:type="spellEnd"/>
            <w:r w:rsidRPr="00964472">
              <w:rPr>
                <w:rFonts w:eastAsia="Times New Roman" w:cstheme="minorHAnsi"/>
                <w:color w:val="000000"/>
                <w:lang w:eastAsia="sk-SK"/>
              </w:rPr>
              <w:t>, Radka (Autor) .</w:t>
            </w:r>
            <w:r w:rsidRPr="00964472">
              <w:rPr>
                <w:rFonts w:eastAsia="Times New Roman" w:cstheme="minorHAnsi"/>
                <w:color w:val="000000"/>
                <w:lang w:eastAsia="sk-SK"/>
              </w:rPr>
              <w:br/>
            </w:r>
            <w:r w:rsidRPr="00964472">
              <w:rPr>
                <w:rFonts w:eastAsia="Times New Roman" w:cstheme="minorHAnsi"/>
                <w:b/>
                <w:bCs/>
                <w:color w:val="000000"/>
                <w:lang w:eastAsia="sk-SK"/>
              </w:rPr>
              <w:t>In:</w:t>
            </w:r>
            <w:r w:rsidRPr="00964472">
              <w:rPr>
                <w:rFonts w:eastAsia="Times New Roman" w:cstheme="minorHAnsi"/>
                <w:color w:val="000000"/>
                <w:lang w:eastAsia="sk-SK"/>
              </w:rPr>
              <w:t> </w:t>
            </w:r>
            <w:r w:rsidRPr="00964472">
              <w:rPr>
                <w:rFonts w:eastAsia="Times New Roman" w:cstheme="minorHAnsi"/>
                <w:i/>
                <w:iCs/>
                <w:color w:val="000000"/>
                <w:lang w:eastAsia="sk-SK"/>
              </w:rPr>
              <w:t>Obchodní právo</w:t>
            </w:r>
            <w:r w:rsidRPr="00964472">
              <w:rPr>
                <w:rFonts w:eastAsia="Times New Roman" w:cstheme="minorHAnsi"/>
                <w:color w:val="000000"/>
                <w:lang w:eastAsia="sk-SK"/>
              </w:rPr>
              <w:t> [textový dokument (</w:t>
            </w:r>
            <w:proofErr w:type="spellStart"/>
            <w:r w:rsidRPr="00964472">
              <w:rPr>
                <w:rFonts w:eastAsia="Times New Roman" w:cstheme="minorHAnsi"/>
                <w:color w:val="000000"/>
                <w:lang w:eastAsia="sk-SK"/>
              </w:rPr>
              <w:t>print</w:t>
            </w:r>
            <w:proofErr w:type="spellEnd"/>
            <w:r w:rsidRPr="00964472">
              <w:rPr>
                <w:rFonts w:eastAsia="Times New Roman" w:cstheme="minorHAnsi"/>
                <w:color w:val="000000"/>
                <w:lang w:eastAsia="sk-SK"/>
              </w:rPr>
              <w:t xml:space="preserve">)] : časopis pro </w:t>
            </w:r>
            <w:proofErr w:type="spellStart"/>
            <w:r w:rsidRPr="00964472">
              <w:rPr>
                <w:rFonts w:eastAsia="Times New Roman" w:cstheme="minorHAnsi"/>
                <w:color w:val="000000"/>
                <w:lang w:eastAsia="sk-SK"/>
              </w:rPr>
              <w:t>obchodně</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právní</w:t>
            </w:r>
            <w:proofErr w:type="spellEnd"/>
            <w:r w:rsidRPr="00964472">
              <w:rPr>
                <w:rFonts w:eastAsia="Times New Roman" w:cstheme="minorHAnsi"/>
                <w:color w:val="000000"/>
                <w:lang w:eastAsia="sk-SK"/>
              </w:rPr>
              <w:t xml:space="preserve"> praxi. – Praha (Česko) : </w:t>
            </w:r>
            <w:proofErr w:type="spellStart"/>
            <w:r w:rsidRPr="00964472">
              <w:rPr>
                <w:rFonts w:eastAsia="Times New Roman" w:cstheme="minorHAnsi"/>
                <w:color w:val="000000"/>
                <w:lang w:eastAsia="sk-SK"/>
              </w:rPr>
              <w:t>Wolters</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Kluwer</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Wolters</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Kluwer</w:t>
            </w:r>
            <w:proofErr w:type="spellEnd"/>
            <w:r w:rsidRPr="00964472">
              <w:rPr>
                <w:rFonts w:eastAsia="Times New Roman" w:cstheme="minorHAnsi"/>
                <w:color w:val="000000"/>
                <w:lang w:eastAsia="sk-SK"/>
              </w:rPr>
              <w:t xml:space="preserve"> ČR. – ISSN 1210-8278. – Roč. 32, č. 7-8 (2023), s. 30-35 [tlačená forma]</w:t>
            </w:r>
          </w:p>
          <w:p w14:paraId="329AA28C" w14:textId="46A56A2E" w:rsidR="00964472" w:rsidRPr="00CB01FF" w:rsidRDefault="00964472" w:rsidP="005A1E5C">
            <w:pPr>
              <w:spacing w:after="0" w:line="240" w:lineRule="auto"/>
              <w:rPr>
                <w:rFonts w:eastAsia="Times New Roman" w:cstheme="minorHAnsi"/>
                <w:color w:val="000000"/>
                <w:lang w:eastAsia="sk-SK"/>
              </w:rPr>
            </w:pPr>
            <w:r w:rsidRPr="00964472">
              <w:rPr>
                <w:rFonts w:eastAsia="Times New Roman" w:cstheme="minorHAnsi"/>
                <w:color w:val="000000"/>
                <w:lang w:eastAsia="sk-SK"/>
              </w:rPr>
              <w:t xml:space="preserve">1587511: Správa a </w:t>
            </w:r>
            <w:proofErr w:type="spellStart"/>
            <w:r w:rsidRPr="00964472">
              <w:rPr>
                <w:rFonts w:eastAsia="Times New Roman" w:cstheme="minorHAnsi"/>
                <w:color w:val="000000"/>
                <w:lang w:eastAsia="sk-SK"/>
              </w:rPr>
              <w:t>řízení</w:t>
            </w:r>
            <w:proofErr w:type="spellEnd"/>
            <w:r w:rsidRPr="00964472">
              <w:rPr>
                <w:rFonts w:eastAsia="Times New Roman" w:cstheme="minorHAnsi"/>
                <w:color w:val="000000"/>
                <w:lang w:eastAsia="sk-SK"/>
              </w:rPr>
              <w:t xml:space="preserve"> obchodní </w:t>
            </w:r>
            <w:proofErr w:type="spellStart"/>
            <w:r w:rsidRPr="00964472">
              <w:rPr>
                <w:rFonts w:eastAsia="Times New Roman" w:cstheme="minorHAnsi"/>
                <w:color w:val="000000"/>
                <w:lang w:eastAsia="sk-SK"/>
              </w:rPr>
              <w:t>korporace</w:t>
            </w:r>
            <w:proofErr w:type="spellEnd"/>
            <w:r w:rsidRPr="00964472">
              <w:rPr>
                <w:rFonts w:eastAsia="Times New Roman" w:cstheme="minorHAnsi"/>
                <w:color w:val="000000"/>
                <w:lang w:eastAsia="sk-SK"/>
              </w:rPr>
              <w:t xml:space="preserve"> v </w:t>
            </w:r>
            <w:proofErr w:type="spellStart"/>
            <w:r w:rsidRPr="00964472">
              <w:rPr>
                <w:rFonts w:eastAsia="Times New Roman" w:cstheme="minorHAnsi"/>
                <w:color w:val="000000"/>
                <w:lang w:eastAsia="sk-SK"/>
              </w:rPr>
              <w:t>hrozícím</w:t>
            </w:r>
            <w:proofErr w:type="spellEnd"/>
            <w:r w:rsidRPr="00964472">
              <w:rPr>
                <w:rFonts w:eastAsia="Times New Roman" w:cstheme="minorHAnsi"/>
                <w:color w:val="000000"/>
                <w:lang w:eastAsia="sk-SK"/>
              </w:rPr>
              <w:t xml:space="preserve"> úpadku [textový dokument (</w:t>
            </w:r>
            <w:proofErr w:type="spellStart"/>
            <w:r w:rsidRPr="00964472">
              <w:rPr>
                <w:rFonts w:eastAsia="Times New Roman" w:cstheme="minorHAnsi"/>
                <w:color w:val="000000"/>
                <w:lang w:eastAsia="sk-SK"/>
              </w:rPr>
              <w:t>print</w:t>
            </w:r>
            <w:proofErr w:type="spellEnd"/>
            <w:r w:rsidRPr="00964472">
              <w:rPr>
                <w:rFonts w:eastAsia="Times New Roman" w:cstheme="minorHAnsi"/>
                <w:color w:val="000000"/>
                <w:lang w:eastAsia="sk-SK"/>
              </w:rPr>
              <w:t xml:space="preserve">)] [monografia] / Dohnal, </w:t>
            </w:r>
            <w:proofErr w:type="spellStart"/>
            <w:r w:rsidRPr="00964472">
              <w:rPr>
                <w:rFonts w:eastAsia="Times New Roman" w:cstheme="minorHAnsi"/>
                <w:color w:val="000000"/>
                <w:lang w:eastAsia="sk-SK"/>
              </w:rPr>
              <w:t>Jan</w:t>
            </w:r>
            <w:proofErr w:type="spellEnd"/>
            <w:r w:rsidRPr="00964472">
              <w:rPr>
                <w:rFonts w:eastAsia="Times New Roman" w:cstheme="minorHAnsi"/>
                <w:color w:val="000000"/>
                <w:lang w:eastAsia="sk-SK"/>
              </w:rPr>
              <w:t xml:space="preserve"> (Autor) . – 1. vyd. – Praha (Česko) : C.H. </w:t>
            </w:r>
            <w:proofErr w:type="spellStart"/>
            <w:r w:rsidRPr="00964472">
              <w:rPr>
                <w:rFonts w:eastAsia="Times New Roman" w:cstheme="minorHAnsi"/>
                <w:color w:val="000000"/>
                <w:lang w:eastAsia="sk-SK"/>
              </w:rPr>
              <w:t>Beck</w:t>
            </w:r>
            <w:proofErr w:type="spellEnd"/>
            <w:r w:rsidRPr="00964472">
              <w:rPr>
                <w:rFonts w:eastAsia="Times New Roman" w:cstheme="minorHAnsi"/>
                <w:color w:val="000000"/>
                <w:lang w:eastAsia="sk-SK"/>
              </w:rPr>
              <w:t xml:space="preserve">, 2024. – 205 s. [tlačená forma]. – (Beckova </w:t>
            </w:r>
            <w:proofErr w:type="spellStart"/>
            <w:r w:rsidRPr="00964472">
              <w:rPr>
                <w:rFonts w:eastAsia="Times New Roman" w:cstheme="minorHAnsi"/>
                <w:color w:val="000000"/>
                <w:lang w:eastAsia="sk-SK"/>
              </w:rPr>
              <w:t>edice</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právní</w:t>
            </w:r>
            <w:proofErr w:type="spellEnd"/>
            <w:r w:rsidRPr="00964472">
              <w:rPr>
                <w:rFonts w:eastAsia="Times New Roman" w:cstheme="minorHAnsi"/>
                <w:color w:val="000000"/>
                <w:lang w:eastAsia="sk-SK"/>
              </w:rPr>
              <w:t xml:space="preserve"> </w:t>
            </w:r>
            <w:proofErr w:type="spellStart"/>
            <w:r w:rsidRPr="00964472">
              <w:rPr>
                <w:rFonts w:eastAsia="Times New Roman" w:cstheme="minorHAnsi"/>
                <w:color w:val="000000"/>
                <w:lang w:eastAsia="sk-SK"/>
              </w:rPr>
              <w:t>instituty</w:t>
            </w:r>
            <w:proofErr w:type="spellEnd"/>
            <w:r w:rsidRPr="00964472">
              <w:rPr>
                <w:rFonts w:eastAsia="Times New Roman" w:cstheme="minorHAnsi"/>
                <w:color w:val="000000"/>
                <w:lang w:eastAsia="sk-SK"/>
              </w:rPr>
              <w:t>). – [recenzované]. – ISBN 978-80-7400-949-5</w:t>
            </w:r>
          </w:p>
        </w:tc>
      </w:tr>
      <w:tr w:rsidR="00FF6B5A" w:rsidRPr="00FF6B5A" w14:paraId="3B46A17F" w14:textId="77777777" w:rsidTr="3CD2FA5F">
        <w:trPr>
          <w:trHeight w:val="1170"/>
        </w:trPr>
        <w:tc>
          <w:tcPr>
            <w:tcW w:w="0" w:type="auto"/>
            <w:vAlign w:val="bottom"/>
            <w:hideMark/>
          </w:tcPr>
          <w:p w14:paraId="3A7A8DE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AA311D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hideMark/>
          </w:tcPr>
          <w:p w14:paraId="0488E0FF" w14:textId="77777777" w:rsidR="00725682" w:rsidRDefault="00725682" w:rsidP="00725682">
            <w:pPr>
              <w:jc w:val="both"/>
            </w:pPr>
            <w:r>
              <w:t xml:space="preserve">Výstup ako súčasť širšieho výskumu v oblasti právnych nástrojov riešenia hroziaceho úpadku bol bezprostredne využitý v procese prípravy návrhu zákona o riešení hroziaceho úpadku (zákon č. 111/2022 Z. z.). Spoluautorka článku bola členkou pracovnej skupiny pre transpozíciu </w:t>
            </w:r>
            <w:r w:rsidRPr="001E1ACB">
              <w:t>Sm</w:t>
            </w:r>
            <w:r>
              <w:t>e</w:t>
            </w:r>
            <w:r w:rsidRPr="001E1ACB">
              <w:t>rnice E</w:t>
            </w:r>
            <w:r>
              <w:t>u</w:t>
            </w:r>
            <w:r w:rsidRPr="001E1ACB">
              <w:t>r</w:t>
            </w:r>
            <w:r>
              <w:t>ó</w:t>
            </w:r>
            <w:r w:rsidRPr="001E1ACB">
              <w:t>psk</w:t>
            </w:r>
            <w:r>
              <w:t>e</w:t>
            </w:r>
            <w:r w:rsidRPr="001E1ACB">
              <w:t>ho parlamentu a Rady (EU) 2019/1023 z</w:t>
            </w:r>
            <w:r>
              <w:t>o</w:t>
            </w:r>
            <w:r w:rsidRPr="001E1ACB">
              <w:t xml:space="preserve"> d</w:t>
            </w:r>
            <w:r>
              <w:t>ňa</w:t>
            </w:r>
            <w:r w:rsidRPr="001E1ACB">
              <w:t xml:space="preserve"> 20. 6. 2019</w:t>
            </w:r>
            <w:r>
              <w:t xml:space="preserve"> do slovenskej právnej úpravy, ktorej výsledkom bol práve návrh zákona o riešení hroziaceho úpadku.</w:t>
            </w:r>
          </w:p>
          <w:p w14:paraId="122C58F4" w14:textId="77777777" w:rsidR="00725682" w:rsidRPr="005A1EF8" w:rsidRDefault="00725682" w:rsidP="00725682">
            <w:pPr>
              <w:jc w:val="both"/>
            </w:pPr>
            <w:r w:rsidRPr="005A1EF8">
              <w:rPr>
                <w:lang w:val="en"/>
              </w:rPr>
              <w:t>The output, as part of broader research in the field of legal instruments for resolving imminent bankruptcy, was immediately used in the process of preparing the draft Act on the Resolution of Impending Bankruptcy (Act No. 111/2022 Coll.). The co-author of the article was a member of the working group for the transposition of Directive (EU) 2019/1023 of the European Parliament and of the Council of 20 June 2019 into Slovak law, which resulted in the draft Act on the Resolution of Impending Bankruptcy.</w:t>
            </w:r>
          </w:p>
          <w:p w14:paraId="2CF12C8B" w14:textId="5697C143" w:rsidR="00CB01FF" w:rsidRPr="00C95998" w:rsidRDefault="00CB01FF" w:rsidP="785EE80A">
            <w:pPr>
              <w:spacing w:after="0" w:line="240" w:lineRule="auto"/>
              <w:rPr>
                <w:rFonts w:eastAsia="Times New Roman"/>
                <w:color w:val="000000"/>
                <w:lang w:eastAsia="sk-SK"/>
              </w:rPr>
            </w:pPr>
          </w:p>
        </w:tc>
      </w:tr>
      <w:tr w:rsidR="00FF6B5A" w:rsidRPr="00FF6B5A" w14:paraId="6B2AB384" w14:textId="77777777" w:rsidTr="3CD2FA5F">
        <w:trPr>
          <w:trHeight w:val="1290"/>
        </w:trPr>
        <w:tc>
          <w:tcPr>
            <w:tcW w:w="0" w:type="auto"/>
            <w:vAlign w:val="bottom"/>
            <w:hideMark/>
          </w:tcPr>
          <w:p w14:paraId="1FAE46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7BC6F94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hideMark/>
          </w:tcPr>
          <w:p w14:paraId="07006119" w14:textId="77777777" w:rsidR="00597E8E" w:rsidRDefault="00597E8E" w:rsidP="00597E8E">
            <w:pPr>
              <w:jc w:val="both"/>
            </w:pPr>
            <w:r>
              <w:t xml:space="preserve">Výstup ako súčasť širšieho výskumu v oblasti právnych nástrojov riešenia hroziaceho úpadku je bezprostredne využívaný v rámci pedagogického pôsobenia autorky. Autorka od šk. roka 2023/2024 vyučuje voliteľný predmet Konkurz a reštrukturalizácia, ktorého obsah bol aj na základe tohto výskumu zásadne prepracovaný a doplnený aj o oblasť riešenia hroziaceho úpadku obchodných spoločností. </w:t>
            </w:r>
          </w:p>
          <w:p w14:paraId="1B56C75B" w14:textId="3499AEA9" w:rsidR="00E620D5" w:rsidRPr="00CB01FF" w:rsidRDefault="00597E8E" w:rsidP="00597E8E">
            <w:pPr>
              <w:spacing w:after="0" w:line="240" w:lineRule="auto"/>
              <w:rPr>
                <w:rFonts w:eastAsia="Times New Roman" w:cstheme="minorHAnsi"/>
                <w:color w:val="000000"/>
                <w:lang w:eastAsia="sk-SK"/>
              </w:rPr>
            </w:pPr>
            <w:r w:rsidRPr="008F4BBD">
              <w:rPr>
                <w:lang w:val="en"/>
              </w:rPr>
              <w:t>The output, as part of broader research in the field of legal instruments for resolving impending bankruptcy, is directly used in the author's pedagogical work. Since the 2023/2024 academic year, the author has been teaching the elective course Bankruptcy and Restructuring, the content of which has been fundamentally revised and supplemented by the area of ​​resolving impending bankruptcy of commercial companies, also based on this research.</w:t>
            </w:r>
          </w:p>
        </w:tc>
      </w:tr>
      <w:tr w:rsidR="00FF6B5A" w:rsidRPr="00FF6B5A" w14:paraId="5D0976C9" w14:textId="77777777" w:rsidTr="3CD2FA5F">
        <w:trPr>
          <w:trHeight w:val="204"/>
        </w:trPr>
        <w:tc>
          <w:tcPr>
            <w:tcW w:w="0" w:type="auto"/>
            <w:vAlign w:val="bottom"/>
            <w:hideMark/>
          </w:tcPr>
          <w:p w14:paraId="6035B7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Align w:val="center"/>
            <w:hideMark/>
          </w:tcPr>
          <w:p w14:paraId="07C9CC5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vAlign w:val="center"/>
            <w:hideMark/>
          </w:tcPr>
          <w:p w14:paraId="63B15BA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hideMark/>
          </w:tcPr>
          <w:p w14:paraId="26170AE3"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4B61A49D" w14:textId="27FEC052" w:rsidR="003C7698" w:rsidRDefault="003C7698" w:rsidP="00CB01FF"/>
    <w:sectPr w:rsidR="003C7698" w:rsidSect="008E2108">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D3A4" w14:textId="77777777" w:rsidR="003771B6" w:rsidRDefault="003771B6" w:rsidP="00816E73">
      <w:pPr>
        <w:spacing w:after="0" w:line="240" w:lineRule="auto"/>
      </w:pPr>
      <w:r>
        <w:separator/>
      </w:r>
    </w:p>
  </w:endnote>
  <w:endnote w:type="continuationSeparator" w:id="0">
    <w:p w14:paraId="52015340" w14:textId="77777777" w:rsidR="003771B6" w:rsidRDefault="003771B6"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7713"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F9F0" w14:textId="77777777" w:rsidR="00A23768" w:rsidRDefault="00A23768">
    <w:pPr>
      <w:pStyle w:val="Pta"/>
    </w:pPr>
    <w:r w:rsidRPr="00A23768">
      <w:t>T_Z_VTCAj_1/ 2020</w:t>
    </w:r>
  </w:p>
  <w:p w14:paraId="52AD5802"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33F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86B7" w14:textId="77777777" w:rsidR="003771B6" w:rsidRDefault="003771B6" w:rsidP="00816E73">
      <w:pPr>
        <w:spacing w:after="0" w:line="240" w:lineRule="auto"/>
      </w:pPr>
      <w:r>
        <w:separator/>
      </w:r>
    </w:p>
  </w:footnote>
  <w:footnote w:type="continuationSeparator" w:id="0">
    <w:p w14:paraId="7EC3E6C6" w14:textId="77777777" w:rsidR="003771B6" w:rsidRDefault="003771B6" w:rsidP="00816E73">
      <w:pPr>
        <w:spacing w:after="0" w:line="240" w:lineRule="auto"/>
      </w:pPr>
      <w:r>
        <w:continuationSeparator/>
      </w:r>
    </w:p>
  </w:footnote>
  <w:footnote w:id="1">
    <w:p w14:paraId="2CD787C4"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63803475"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4869469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09C50F4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67E6FDA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239D4BE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6476AAA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377D7D3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6438A74D"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3FB3"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520C"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0A3E7C4A" wp14:editId="1A32E067">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AA4514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F920" w14:textId="77777777" w:rsidR="00B15040" w:rsidRDefault="00B150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9F9"/>
    <w:multiLevelType w:val="hybridMultilevel"/>
    <w:tmpl w:val="3C04E8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1753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11981"/>
    <w:rsid w:val="00053AA8"/>
    <w:rsid w:val="00062C05"/>
    <w:rsid w:val="00073EC9"/>
    <w:rsid w:val="0008088C"/>
    <w:rsid w:val="00087B3E"/>
    <w:rsid w:val="000C473D"/>
    <w:rsid w:val="000D326C"/>
    <w:rsid w:val="00102D82"/>
    <w:rsid w:val="00112F47"/>
    <w:rsid w:val="00195716"/>
    <w:rsid w:val="001A150C"/>
    <w:rsid w:val="001A42DD"/>
    <w:rsid w:val="001E5182"/>
    <w:rsid w:val="001F26CD"/>
    <w:rsid w:val="00222794"/>
    <w:rsid w:val="00255867"/>
    <w:rsid w:val="00273965"/>
    <w:rsid w:val="003771B6"/>
    <w:rsid w:val="00377CBA"/>
    <w:rsid w:val="003A3FCD"/>
    <w:rsid w:val="003B79F0"/>
    <w:rsid w:val="003C7698"/>
    <w:rsid w:val="00402A7B"/>
    <w:rsid w:val="004038BC"/>
    <w:rsid w:val="00422600"/>
    <w:rsid w:val="00433097"/>
    <w:rsid w:val="0047355F"/>
    <w:rsid w:val="00484A72"/>
    <w:rsid w:val="004A4A06"/>
    <w:rsid w:val="004C347F"/>
    <w:rsid w:val="004D5CBD"/>
    <w:rsid w:val="004E364A"/>
    <w:rsid w:val="004E4845"/>
    <w:rsid w:val="004F6F4A"/>
    <w:rsid w:val="00502F15"/>
    <w:rsid w:val="00532FE9"/>
    <w:rsid w:val="00546BD2"/>
    <w:rsid w:val="00555FFD"/>
    <w:rsid w:val="005622F0"/>
    <w:rsid w:val="00572798"/>
    <w:rsid w:val="0057734E"/>
    <w:rsid w:val="00597E8E"/>
    <w:rsid w:val="005A1E5C"/>
    <w:rsid w:val="005B4A19"/>
    <w:rsid w:val="00615BB4"/>
    <w:rsid w:val="0065572E"/>
    <w:rsid w:val="00675F63"/>
    <w:rsid w:val="006849EB"/>
    <w:rsid w:val="006F6B13"/>
    <w:rsid w:val="007102E7"/>
    <w:rsid w:val="00725682"/>
    <w:rsid w:val="00733E5F"/>
    <w:rsid w:val="007F7234"/>
    <w:rsid w:val="008062B7"/>
    <w:rsid w:val="00806BE5"/>
    <w:rsid w:val="00816E73"/>
    <w:rsid w:val="00852916"/>
    <w:rsid w:val="00852CC7"/>
    <w:rsid w:val="00893C00"/>
    <w:rsid w:val="008A692A"/>
    <w:rsid w:val="008B78D7"/>
    <w:rsid w:val="008E2108"/>
    <w:rsid w:val="00941FE2"/>
    <w:rsid w:val="00942518"/>
    <w:rsid w:val="009547F9"/>
    <w:rsid w:val="00964472"/>
    <w:rsid w:val="00975300"/>
    <w:rsid w:val="00980601"/>
    <w:rsid w:val="00996838"/>
    <w:rsid w:val="00998174"/>
    <w:rsid w:val="009A7362"/>
    <w:rsid w:val="009B1D30"/>
    <w:rsid w:val="009B6DDF"/>
    <w:rsid w:val="009C64D6"/>
    <w:rsid w:val="00A16994"/>
    <w:rsid w:val="00A23768"/>
    <w:rsid w:val="00A455BA"/>
    <w:rsid w:val="00A640A8"/>
    <w:rsid w:val="00AF7146"/>
    <w:rsid w:val="00B15040"/>
    <w:rsid w:val="00B22EA0"/>
    <w:rsid w:val="00B23DBA"/>
    <w:rsid w:val="00B4282B"/>
    <w:rsid w:val="00BA1526"/>
    <w:rsid w:val="00C01D1D"/>
    <w:rsid w:val="00C029D7"/>
    <w:rsid w:val="00C35E41"/>
    <w:rsid w:val="00C40D4D"/>
    <w:rsid w:val="00C63E2F"/>
    <w:rsid w:val="00C86832"/>
    <w:rsid w:val="00C95998"/>
    <w:rsid w:val="00CA0DA5"/>
    <w:rsid w:val="00CB01FF"/>
    <w:rsid w:val="00CE5D14"/>
    <w:rsid w:val="00D305D9"/>
    <w:rsid w:val="00D47860"/>
    <w:rsid w:val="00D56698"/>
    <w:rsid w:val="00D64B7C"/>
    <w:rsid w:val="00D66DC5"/>
    <w:rsid w:val="00D733AB"/>
    <w:rsid w:val="00DB2771"/>
    <w:rsid w:val="00DB3ABD"/>
    <w:rsid w:val="00DF18D4"/>
    <w:rsid w:val="00DF77E6"/>
    <w:rsid w:val="00E620D5"/>
    <w:rsid w:val="00E835FB"/>
    <w:rsid w:val="00EA434E"/>
    <w:rsid w:val="00EB0EE4"/>
    <w:rsid w:val="00EC403D"/>
    <w:rsid w:val="00F40F87"/>
    <w:rsid w:val="00F83BCB"/>
    <w:rsid w:val="00F92527"/>
    <w:rsid w:val="00FC5E34"/>
    <w:rsid w:val="00FE27EC"/>
    <w:rsid w:val="00FE6C53"/>
    <w:rsid w:val="00FF4276"/>
    <w:rsid w:val="00FF6B5A"/>
    <w:rsid w:val="1E613227"/>
    <w:rsid w:val="2EB2833F"/>
    <w:rsid w:val="316317E7"/>
    <w:rsid w:val="3CD2FA5F"/>
    <w:rsid w:val="3E7D38A4"/>
    <w:rsid w:val="4499CD4A"/>
    <w:rsid w:val="5294D770"/>
    <w:rsid w:val="592A220F"/>
    <w:rsid w:val="65EF7CBA"/>
    <w:rsid w:val="7746503B"/>
    <w:rsid w:val="785EE80A"/>
    <w:rsid w:val="7C332C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55338"/>
  <w15:docId w15:val="{EB62095B-05E5-40B4-89EC-704BB8FC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3C7698"/>
    <w:rPr>
      <w:color w:val="605E5C"/>
      <w:shd w:val="clear" w:color="auto" w:fill="E1DFDD"/>
    </w:rPr>
  </w:style>
  <w:style w:type="paragraph" w:styleId="Odsekzoznamu">
    <w:name w:val="List Paragraph"/>
    <w:basedOn w:val="Normlny"/>
    <w:uiPriority w:val="34"/>
    <w:qFormat/>
    <w:rsid w:val="003C7698"/>
    <w:pPr>
      <w:ind w:left="720"/>
      <w:contextualSpacing/>
    </w:pPr>
  </w:style>
  <w:style w:type="paragraph" w:customStyle="1" w:styleId="paragraph">
    <w:name w:val="paragraph"/>
    <w:basedOn w:val="Normlny"/>
    <w:rsid w:val="00B22EA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B22EA0"/>
  </w:style>
  <w:style w:type="character" w:customStyle="1" w:styleId="spellingerror">
    <w:name w:val="spellingerror"/>
    <w:basedOn w:val="Predvolenpsmoodseku"/>
    <w:rsid w:val="00B22EA0"/>
  </w:style>
  <w:style w:type="character" w:customStyle="1" w:styleId="eop">
    <w:name w:val="eop"/>
    <w:basedOn w:val="Predvolenpsmoodseku"/>
    <w:rsid w:val="00B22EA0"/>
  </w:style>
  <w:style w:type="character" w:customStyle="1" w:styleId="authorname">
    <w:name w:val="author_name"/>
    <w:basedOn w:val="Predvolenpsmoodseku"/>
    <w:rsid w:val="004A4A06"/>
  </w:style>
  <w:style w:type="character" w:customStyle="1" w:styleId="bcx2">
    <w:name w:val="bcx2"/>
    <w:basedOn w:val="Predvolenpsmoodseku"/>
    <w:rsid w:val="00402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862268">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100174287">
      <w:bodyDiv w:val="1"/>
      <w:marLeft w:val="0"/>
      <w:marRight w:val="0"/>
      <w:marTop w:val="0"/>
      <w:marBottom w:val="0"/>
      <w:divBdr>
        <w:top w:val="none" w:sz="0" w:space="0" w:color="auto"/>
        <w:left w:val="none" w:sz="0" w:space="0" w:color="auto"/>
        <w:bottom w:val="none" w:sz="0" w:space="0" w:color="auto"/>
        <w:right w:val="none" w:sz="0" w:space="0" w:color="auto"/>
      </w:divBdr>
      <w:divsChild>
        <w:div w:id="1306739204">
          <w:marLeft w:val="0"/>
          <w:marRight w:val="0"/>
          <w:marTop w:val="0"/>
          <w:marBottom w:val="0"/>
          <w:divBdr>
            <w:top w:val="none" w:sz="0" w:space="0" w:color="auto"/>
            <w:left w:val="none" w:sz="0" w:space="0" w:color="auto"/>
            <w:bottom w:val="none" w:sz="0" w:space="0" w:color="auto"/>
            <w:right w:val="none" w:sz="0" w:space="0" w:color="auto"/>
          </w:divBdr>
        </w:div>
      </w:divsChild>
    </w:div>
    <w:div w:id="1196504547">
      <w:bodyDiv w:val="1"/>
      <w:marLeft w:val="0"/>
      <w:marRight w:val="0"/>
      <w:marTop w:val="0"/>
      <w:marBottom w:val="0"/>
      <w:divBdr>
        <w:top w:val="none" w:sz="0" w:space="0" w:color="auto"/>
        <w:left w:val="none" w:sz="0" w:space="0" w:color="auto"/>
        <w:bottom w:val="none" w:sz="0" w:space="0" w:color="auto"/>
        <w:right w:val="none" w:sz="0" w:space="0" w:color="auto"/>
      </w:divBdr>
      <w:divsChild>
        <w:div w:id="1901675847">
          <w:marLeft w:val="0"/>
          <w:marRight w:val="0"/>
          <w:marTop w:val="0"/>
          <w:marBottom w:val="0"/>
          <w:divBdr>
            <w:top w:val="none" w:sz="0" w:space="0" w:color="auto"/>
            <w:left w:val="none" w:sz="0" w:space="0" w:color="auto"/>
            <w:bottom w:val="none" w:sz="0" w:space="0" w:color="auto"/>
            <w:right w:val="none" w:sz="0" w:space="0" w:color="auto"/>
          </w:divBdr>
        </w:div>
      </w:divsChild>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settings" Target="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file:///E:\_Docs%20&amp;amp;%20Rozne\DOC\Doc\Zbornik&amp;amp;Doc\Nov&#253;\Nov&#253;_doc\__Webstr\z_POM\Doc\Nov&#253;\Hodnot%20sprava\Intranet\IMG%20web\Nov&#253;%20prie&#269;inok\T_Z_VTC_SjAj_1-2020.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repco.truni.sk/?fn=ResultFormChildU912&amp;seo=REP%C4%8CO-Zoznam-z%C3%A1znam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E:\_Docs%20&amp;amp;%20Rozne\DOC\Doc\Zbornik&amp;amp;Doc\Nov&#253;\Nov&#253;_doc\__Webstr\z_POM\Doc\Nov&#253;\Hodnot%20sprava\Intranet\IMG%20web\Nov&#253;%20prie&#269;inok\T_Z_VTC_SjAj_1-2020.xlsx" TargetMode="External"/><Relationship Id="rId23" Type="http://schemas.openxmlformats.org/officeDocument/2006/relationships/hyperlink" Target="https://app.beck-online.cz/bo/chapterview-document.seam?documentId=nrptembsgjpxa4s7gfpxgxzr&amp;refSource=search&amp;ols=&amp;searchScope=all&amp;searchType=norma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B8F40-E3D0-4F66-9259-724DF9899439}">
  <ds:schemaRefs>
    <ds:schemaRef ds:uri="http://schemas.microsoft.com/sharepoint/v3/contenttype/forms"/>
  </ds:schemaRefs>
</ds:datastoreItem>
</file>

<file path=customXml/itemProps2.xml><?xml version="1.0" encoding="utf-8"?>
<ds:datastoreItem xmlns:ds="http://schemas.openxmlformats.org/officeDocument/2006/customXml" ds:itemID="{9ABE6687-C80C-454B-8265-4EF168F26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customXml/itemProps4.xml><?xml version="1.0" encoding="utf-8"?>
<ds:datastoreItem xmlns:ds="http://schemas.openxmlformats.org/officeDocument/2006/customXml" ds:itemID="{E22043C2-4D8E-427A-B59E-AFC025BAB1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7</Pages>
  <Words>2148</Words>
  <Characters>12247</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12</cp:revision>
  <dcterms:created xsi:type="dcterms:W3CDTF">2025-10-09T18:00:00Z</dcterms:created>
  <dcterms:modified xsi:type="dcterms:W3CDTF">2025-11-04T12:59:00Z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73800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