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5"/>
        <w:gridCol w:w="2133"/>
        <w:gridCol w:w="7209"/>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3435CB"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3435CB"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8B72C31"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Maslen</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3435CB"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4E2FE373"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Michal</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3435CB"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3435CB"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54DFBAB" w:rsidR="00FF6B5A" w:rsidRPr="004358A8" w:rsidRDefault="003435CB" w:rsidP="004358A8">
            <w:pPr>
              <w:rPr>
                <w:rFonts w:ascii="Calibri" w:eastAsia="Times New Roman" w:hAnsi="Calibri" w:cs="Times New Roman"/>
                <w:color w:val="000000"/>
                <w:lang w:eastAsia="sk-SK"/>
              </w:rPr>
            </w:pPr>
            <w:hyperlink r:id="rId15" w:history="1">
              <w:r w:rsidR="0085075E" w:rsidRPr="00040ED7">
                <w:rPr>
                  <w:rStyle w:val="Hypertextovprepojenie"/>
                  <w:rFonts w:ascii="Calibri" w:hAnsi="Calibri" w:cs="Calibri"/>
                  <w:iCs/>
                </w:rPr>
                <w:t>https://www.portalvs.sk/regzam/detail/8900</w:t>
              </w:r>
            </w:hyperlink>
          </w:p>
        </w:tc>
      </w:tr>
      <w:tr w:rsidR="00FF6B5A" w:rsidRPr="00FF6B5A" w14:paraId="25296673" w14:textId="77777777" w:rsidTr="003435CB">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3435CB"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tcPr>
          <w:p w14:paraId="47D72EC0" w14:textId="1DD1D3AE" w:rsidR="00FF6B5A" w:rsidRPr="00FF6B5A" w:rsidRDefault="003435CB"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3435CB"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lastRenderedPageBreak/>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27741BDB" w:rsidR="00FF6B5A" w:rsidRPr="00FF6B5A" w:rsidRDefault="00FF6B5A" w:rsidP="0085075E">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201</w:t>
            </w:r>
            <w:r w:rsidR="00306877">
              <w:rPr>
                <w:rFonts w:ascii="Calibri" w:eastAsia="Times New Roman" w:hAnsi="Calibri" w:cs="Times New Roman"/>
                <w:color w:val="000000"/>
                <w:lang w:eastAsia="sk-SK"/>
              </w:rPr>
              <w:t>6</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3435CB"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52185FD2" w:rsidR="00306877" w:rsidRPr="00FF6B5A" w:rsidRDefault="004A606B" w:rsidP="002179A1">
            <w:pPr>
              <w:rPr>
                <w:rFonts w:ascii="Calibri" w:eastAsia="Times New Roman" w:hAnsi="Calibri" w:cs="Times New Roman"/>
                <w:color w:val="000000"/>
                <w:lang w:eastAsia="sk-SK"/>
              </w:rPr>
            </w:pPr>
            <w:r w:rsidRPr="002179A1">
              <w:rPr>
                <w:rFonts w:eastAsia="Times New Roman" w:cstheme="minorHAnsi"/>
                <w:b/>
                <w:bCs/>
                <w:lang w:eastAsia="sk-SK"/>
              </w:rPr>
              <w:t xml:space="preserve">ID: </w:t>
            </w:r>
            <w:r w:rsidR="00306877" w:rsidRPr="002179A1">
              <w:rPr>
                <w:rFonts w:cstheme="minorHAnsi"/>
              </w:rPr>
              <w:t>066312</w:t>
            </w:r>
            <w:r w:rsidR="002179A1" w:rsidRPr="002179A1">
              <w:rPr>
                <w:rFonts w:cstheme="minorHAnsi"/>
              </w:rPr>
              <w:t xml:space="preserve"> </w:t>
            </w:r>
            <w:r w:rsidR="00306877" w:rsidRPr="002179A1">
              <w:rPr>
                <w:rFonts w:cstheme="minorHAnsi"/>
              </w:rPr>
              <w:t xml:space="preserve">AAA : </w:t>
            </w:r>
            <w:r w:rsidR="00306877" w:rsidRPr="002179A1">
              <w:rPr>
                <w:rFonts w:cstheme="minorHAnsi"/>
                <w:b/>
                <w:bCs/>
              </w:rPr>
              <w:t>Verejná správa a právo na priaznivé životné prostredie</w:t>
            </w:r>
            <w:r w:rsidR="00306877" w:rsidRPr="002179A1">
              <w:rPr>
                <w:rFonts w:cstheme="minorHAnsi"/>
              </w:rPr>
              <w:t xml:space="preserve"> : vedecká monografia / Maslen Michal, Škultéty Peter (Recenzent), </w:t>
            </w:r>
            <w:proofErr w:type="spellStart"/>
            <w:r w:rsidR="00306877" w:rsidRPr="002179A1">
              <w:rPr>
                <w:rFonts w:cstheme="minorHAnsi"/>
              </w:rPr>
              <w:t>Srebalová</w:t>
            </w:r>
            <w:proofErr w:type="spellEnd"/>
            <w:r w:rsidR="00306877" w:rsidRPr="002179A1">
              <w:rPr>
                <w:rFonts w:cstheme="minorHAnsi"/>
              </w:rPr>
              <w:t xml:space="preserve"> Mária (Recenzent). - 1. vyd. - Praha : Leges, 2016. - 248 s. - (Teoretik). - ISBN 978-80-7502-198-4. - Spôsob prístupu: </w:t>
            </w:r>
            <w:hyperlink r:id="rId19" w:tooltip="http://ukftp.truni.sk/epc/13968.pdf" w:history="1">
              <w:r w:rsidR="00306877" w:rsidRPr="002179A1">
                <w:rPr>
                  <w:rStyle w:val="Hypertextovprepojenie"/>
                  <w:rFonts w:cstheme="minorHAnsi"/>
                </w:rPr>
                <w:t>http://ukftp.truni.sk/epc/13968.pdf</w:t>
              </w:r>
            </w:hyperlink>
            <w:r w:rsidR="00306877">
              <w:t>.</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3435CB"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87CCDC9" w14:textId="77777777" w:rsidR="00FF6B5A" w:rsidRDefault="00FF6B5A" w:rsidP="004A606B">
            <w:pPr>
              <w:rPr>
                <w:rFonts w:ascii="Calibri" w:eastAsia="Times New Roman" w:hAnsi="Calibri" w:cs="Times New Roman"/>
                <w:color w:val="000000"/>
                <w:lang w:eastAsia="sk-SK"/>
              </w:rPr>
            </w:pPr>
          </w:p>
          <w:p w14:paraId="18C92EC9" w14:textId="0BB082AE" w:rsidR="00306877" w:rsidRPr="00FF6B5A" w:rsidRDefault="00A20D16" w:rsidP="004A606B">
            <w:pPr>
              <w:rPr>
                <w:rFonts w:ascii="Calibri" w:eastAsia="Times New Roman" w:hAnsi="Calibri" w:cs="Times New Roman"/>
                <w:color w:val="000000"/>
                <w:lang w:eastAsia="sk-SK"/>
              </w:rPr>
            </w:pPr>
            <w:r>
              <w:rPr>
                <w:rFonts w:ascii="Helvetica" w:hAnsi="Helvetica" w:cs="Helvetica"/>
                <w:color w:val="653129"/>
                <w:sz w:val="26"/>
                <w:szCs w:val="26"/>
                <w:shd w:val="clear" w:color="auto" w:fill="F5F5F5"/>
              </w:rPr>
              <w:t xml:space="preserve"> </w:t>
            </w:r>
            <w:hyperlink r:id="rId21" w:history="1">
              <w:r>
                <w:rPr>
                  <w:rStyle w:val="Hypertextovprepojenie"/>
                  <w:rFonts w:ascii="Helvetica" w:hAnsi="Helvetica" w:cs="Helvetica"/>
                  <w:sz w:val="20"/>
                  <w:szCs w:val="20"/>
                  <w:shd w:val="clear" w:color="auto" w:fill="F5F5F5"/>
                </w:rPr>
                <w:t>https://app.crepc.sk/?fn=detailBiblioForm&amp;sid=CA87A9B12B488714DA906AF4E0</w:t>
              </w:r>
            </w:hyperlink>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3435CB"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15D4E3DE" w:rsidR="00FF6B5A" w:rsidRPr="00FF6B5A" w:rsidRDefault="003435CB" w:rsidP="00FF6B5A">
            <w:pPr>
              <w:spacing w:after="0" w:line="240" w:lineRule="auto"/>
              <w:rPr>
                <w:rFonts w:ascii="Calibri" w:eastAsia="Times New Roman" w:hAnsi="Calibri" w:cs="Times New Roman"/>
                <w:color w:val="000000"/>
                <w:lang w:eastAsia="sk-SK"/>
              </w:rPr>
            </w:pPr>
            <w:hyperlink r:id="rId23" w:history="1">
              <w:r w:rsidR="00306877" w:rsidRPr="00040ED7">
                <w:rPr>
                  <w:rStyle w:val="Hypertextovprepojenie"/>
                  <w:rFonts w:ascii="Calibri" w:eastAsia="Times New Roman" w:hAnsi="Calibri" w:cs="Times New Roman"/>
                  <w:lang w:eastAsia="sk-SK"/>
                </w:rPr>
                <w:t>http://publikacie.iuridica.truni.sk/wp-content/uploads/2017/03/Verejn%C3%A1-spr%C3%A1va_TISK1.pdf</w:t>
              </w:r>
            </w:hyperlink>
            <w:r w:rsidR="00306877">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w:t>
            </w:r>
            <w:r w:rsidRPr="00FF6B5A">
              <w:rPr>
                <w:rFonts w:ascii="Calibri" w:eastAsia="Times New Roman" w:hAnsi="Calibri" w:cs="Times New Roman"/>
                <w:color w:val="000000"/>
                <w:lang w:eastAsia="sk-SK"/>
              </w:rPr>
              <w:lastRenderedPageBreak/>
              <w:t xml:space="preserve">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3435CB" w:rsidP="00087B3E">
            <w:pPr>
              <w:spacing w:after="0" w:line="240" w:lineRule="auto"/>
              <w:rPr>
                <w:rFonts w:ascii="Calibri" w:eastAsia="Times New Roman" w:hAnsi="Calibri" w:cs="Times New Roman"/>
                <w:lang w:eastAsia="sk-SK"/>
              </w:rPr>
            </w:pPr>
            <w:hyperlink r:id="rId24"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3435CB"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08AC998C" w:rsidR="002E6FE9" w:rsidRPr="009E4FF2"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6F694B">
              <w:rPr>
                <w:rFonts w:ascii="Calibri" w:eastAsia="Times New Roman" w:hAnsi="Calibri" w:cs="Times New Roman"/>
                <w:color w:val="000000"/>
                <w:lang w:eastAsia="sk-SK"/>
              </w:rPr>
              <w:t>právnu úprav</w:t>
            </w:r>
            <w:r w:rsidR="00306877">
              <w:rPr>
                <w:rFonts w:ascii="Calibri" w:eastAsia="Times New Roman" w:hAnsi="Calibri" w:cs="Times New Roman"/>
                <w:color w:val="000000"/>
                <w:lang w:eastAsia="sk-SK"/>
              </w:rPr>
              <w:t xml:space="preserve">u práva na priaznivé životné prostredie v kontexte medzinárodného práva, európskeho práva, správneho práva a do určitej miery aj práva trestného. </w:t>
            </w:r>
            <w:r w:rsidR="009E4FF2">
              <w:rPr>
                <w:rFonts w:ascii="Calibri" w:eastAsia="Times New Roman" w:hAnsi="Calibri" w:cs="Times New Roman"/>
                <w:color w:val="000000"/>
                <w:lang w:eastAsia="sk-SK"/>
              </w:rPr>
              <w:t xml:space="preserve">Analýza sa zameriava najmä na skutočnosť do akej miery zodpovedá práva úprava požiadavkám na ochranu životného prostredia. Posudzuje právo na ochranu životného prostredie v kontexte ostatných ústavne zaručených práv (vlastnícke právo, právo na súkromie, sloboda podnikania). Do výskumu zahŕňa aj otázky verejnoprávnej zodpovednosti za poškodzovanie životného prostredia v kontexte požiadavky čl. 44 ods. 3 Ústavy SR, podľa ktorého </w:t>
            </w:r>
            <w:r w:rsidR="009E4FF2" w:rsidRPr="009E4FF2">
              <w:rPr>
                <w:rFonts w:ascii="Calibri" w:eastAsia="Times New Roman" w:hAnsi="Calibri" w:cs="Times New Roman"/>
                <w:i/>
                <w:iCs/>
                <w:color w:val="000000"/>
                <w:lang w:eastAsia="sk-SK"/>
              </w:rPr>
              <w:t>„Nikto nesmie nad mieru ustanovenú zákonom ohrozovať ani poškodzovať životné prostredie, prírodné zdroje a kultúrne pamiatky.“</w:t>
            </w:r>
            <w:r w:rsidR="009E4FF2">
              <w:rPr>
                <w:rFonts w:ascii="Calibri" w:eastAsia="Times New Roman" w:hAnsi="Calibri" w:cs="Times New Roman"/>
                <w:color w:val="000000"/>
                <w:lang w:eastAsia="sk-SK"/>
              </w:rPr>
              <w:t>.</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16015395" w:rsidR="00422600" w:rsidRPr="004358A8" w:rsidRDefault="009E4FF2" w:rsidP="002E6FE9">
            <w:pPr>
              <w:spacing w:after="0" w:line="240" w:lineRule="auto"/>
              <w:jc w:val="both"/>
              <w:rPr>
                <w:rFonts w:ascii="Calibri" w:eastAsia="Times New Roman" w:hAnsi="Calibri" w:cs="Times New Roman"/>
                <w:i/>
                <w:color w:val="000000"/>
                <w:lang w:val="en-GB" w:eastAsia="sk-SK"/>
              </w:rPr>
            </w:pPr>
            <w:r w:rsidRPr="009E4FF2">
              <w:rPr>
                <w:rFonts w:ascii="Calibri" w:eastAsia="Times New Roman" w:hAnsi="Calibri" w:cs="Times New Roman"/>
                <w:i/>
                <w:color w:val="000000"/>
                <w:lang w:val="en-GB" w:eastAsia="sk-SK"/>
              </w:rPr>
              <w:t xml:space="preserve">The output analyses the legal regulation of the right to a favourable environment in the context of international law, European law, administrative law and, to some extent, criminal law. The analysis mainly focuses on the fact to what extent the legal regulation corresponds to the requirements for </w:t>
            </w:r>
            <w:r w:rsidRPr="009E4FF2">
              <w:rPr>
                <w:rFonts w:ascii="Calibri" w:eastAsia="Times New Roman" w:hAnsi="Calibri" w:cs="Times New Roman"/>
                <w:i/>
                <w:color w:val="000000"/>
                <w:lang w:val="en-GB" w:eastAsia="sk-SK"/>
              </w:rPr>
              <w:lastRenderedPageBreak/>
              <w:t>environmental protection. It assesses the right to protect the environment in the context of other constitutionally guaranteed rights (property right, right to privacy, freedom of business). The research also includes issues of public liability for environmental damage in the context of the requirements of Art. 44 par. 3 of the Constitution of the Slovak Republic, according to which "No one may threaten or damage the environment, natural resources and cultural monuments beyond the limit established by law.".</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3435CB" w:rsidP="00532FE9">
            <w:pPr>
              <w:spacing w:after="0" w:line="240" w:lineRule="auto"/>
              <w:rPr>
                <w:rFonts w:ascii="Calibri" w:eastAsia="Times New Roman" w:hAnsi="Calibri" w:cs="Times New Roman"/>
                <w:lang w:eastAsia="sk-SK"/>
              </w:rPr>
            </w:pPr>
            <w:hyperlink r:id="rId26"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0E773A">
            <w:pPr>
              <w:spacing w:after="0" w:line="240" w:lineRule="auto"/>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56572C54" w14:textId="2AACFD34" w:rsidR="00FF6B5A" w:rsidRDefault="000A561A" w:rsidP="00FF6B5A">
            <w:pPr>
              <w:spacing w:after="0" w:line="240" w:lineRule="auto"/>
              <w:rPr>
                <w:rFonts w:ascii="Calibri" w:eastAsia="Times New Roman" w:hAnsi="Calibri" w:cs="Times New Roman"/>
                <w:color w:val="000000"/>
                <w:lang w:eastAsia="sk-SK"/>
              </w:rPr>
            </w:pPr>
            <w:r>
              <w:t xml:space="preserve">2019 [1] JANKUV, J. </w:t>
            </w:r>
            <w:proofErr w:type="spellStart"/>
            <w:r>
              <w:t>Protection</w:t>
            </w:r>
            <w:proofErr w:type="spellEnd"/>
            <w:r>
              <w:t xml:space="preserve"> of </w:t>
            </w:r>
            <w:proofErr w:type="spellStart"/>
            <w:r>
              <w:t>Right</w:t>
            </w:r>
            <w:proofErr w:type="spellEnd"/>
            <w:r>
              <w:t xml:space="preserve"> to </w:t>
            </w:r>
            <w:proofErr w:type="spellStart"/>
            <w:r>
              <w:t>Environment</w:t>
            </w:r>
            <w:proofErr w:type="spellEnd"/>
            <w:r>
              <w:t xml:space="preserve"> in International </w:t>
            </w:r>
            <w:proofErr w:type="spellStart"/>
            <w:r>
              <w:t>Public</w:t>
            </w:r>
            <w:proofErr w:type="spellEnd"/>
            <w:r>
              <w:t xml:space="preserve"> </w:t>
            </w:r>
            <w:proofErr w:type="spellStart"/>
            <w:r>
              <w:t>Law</w:t>
            </w:r>
            <w:proofErr w:type="spellEnd"/>
            <w:r>
              <w:t xml:space="preserve">. In International and </w:t>
            </w:r>
            <w:proofErr w:type="spellStart"/>
            <w:r>
              <w:t>comparative</w:t>
            </w:r>
            <w:proofErr w:type="spellEnd"/>
            <w:r>
              <w:t xml:space="preserve"> </w:t>
            </w:r>
            <w:proofErr w:type="spellStart"/>
            <w:r>
              <w:t>law</w:t>
            </w:r>
            <w:proofErr w:type="spellEnd"/>
            <w:r>
              <w:t xml:space="preserve"> </w:t>
            </w:r>
            <w:proofErr w:type="spellStart"/>
            <w:r>
              <w:t>review</w:t>
            </w:r>
            <w:proofErr w:type="spellEnd"/>
            <w:r>
              <w:t xml:space="preserve">, </w:t>
            </w:r>
            <w:proofErr w:type="spellStart"/>
            <w:r>
              <w:t>vol</w:t>
            </w:r>
            <w:proofErr w:type="spellEnd"/>
            <w:r>
              <w:t xml:space="preserve">. 19, </w:t>
            </w:r>
            <w:proofErr w:type="spellStart"/>
            <w:r>
              <w:t>iss</w:t>
            </w:r>
            <w:proofErr w:type="spellEnd"/>
            <w:r>
              <w:t>. 1, 2019, p. 146-171. - ISSN 1213-8770. - ISSN 2464-6601(online). - SCOPUS</w:t>
            </w:r>
            <w:r>
              <w:br/>
              <w:t xml:space="preserve">2021 [4] VARGA, P. Environmentálne aspekty zákazu protisúťažných dohôd podľa článku 101 ZFEÚ. In editor </w:t>
            </w:r>
            <w:proofErr w:type="spellStart"/>
            <w:r>
              <w:t>Jankuv</w:t>
            </w:r>
            <w:proofErr w:type="spellEnd"/>
            <w:r>
              <w:t xml:space="preserve"> J. Vynútiteľnosť medzinárodných, európskych, slovenských a českých noriem práva životného prostredia a ich vzájomná interakcia. - Trnava : Trnavská univerzita, 2021, s. 216. ISBN 978-80-568-0412-4</w:t>
            </w:r>
            <w:r>
              <w:br/>
              <w:t>2020 [4] SREBALOVÁ, M. - PERÁČEK, T. Môžu byť efektívne pozemkové úpravy realizované bez efektívneho oceňovania pozemkov?. In Pavlovič, M. (</w:t>
            </w:r>
            <w:proofErr w:type="spellStart"/>
            <w:r>
              <w:t>zost</w:t>
            </w:r>
            <w:proofErr w:type="spellEnd"/>
            <w:r>
              <w:t xml:space="preserve">.) Zborník z 21. ročníka medzinárodnej vedeckej česko-poľsko-slovenskej konferencie práva životného prostredia. - Bratislava : </w:t>
            </w:r>
            <w:proofErr w:type="spellStart"/>
            <w:r>
              <w:t>Wolters</w:t>
            </w:r>
            <w:proofErr w:type="spellEnd"/>
            <w:r>
              <w:t xml:space="preserve"> </w:t>
            </w:r>
            <w:proofErr w:type="spellStart"/>
            <w:r>
              <w:t>Kluwer</w:t>
            </w:r>
            <w:proofErr w:type="spellEnd"/>
            <w:r>
              <w:t xml:space="preserve"> SR, 2020, s. 237,242, ISBN 978-80-571-0314-1</w:t>
            </w:r>
            <w:r>
              <w:br/>
              <w:t xml:space="preserve">2020 [4] VRABKO, M. – SREBALOVÁ, M. Limity elektronizácie a participácie v správnych konaniach. In </w:t>
            </w:r>
            <w:proofErr w:type="spellStart"/>
            <w:r>
              <w:t>Szakács</w:t>
            </w:r>
            <w:proofErr w:type="spellEnd"/>
            <w:r>
              <w:t>, A. - Hlinka, T. (</w:t>
            </w:r>
            <w:proofErr w:type="spellStart"/>
            <w:r>
              <w:t>eds</w:t>
            </w:r>
            <w:proofErr w:type="spellEnd"/>
            <w:r>
              <w:t xml:space="preserve">.) Inovácie v administratívnom konaní: zrýchľovanie - elektronizácia - participácia [online]. Bratislava : UK, právnická fakulta, 2020, s. 12,14. ISBN 978-80-7160-564-5. Dostupné na: </w:t>
            </w:r>
            <w:r>
              <w:br/>
              <w:t xml:space="preserve">2020 [4] PONIŠT, V. Vplyv </w:t>
            </w:r>
            <w:proofErr w:type="spellStart"/>
            <w:r>
              <w:t>Aarhuského</w:t>
            </w:r>
            <w:proofErr w:type="spellEnd"/>
            <w:r>
              <w:t xml:space="preserve"> dohovoru na rekodifikáciu správneho </w:t>
            </w:r>
            <w:proofErr w:type="spellStart"/>
            <w:r>
              <w:t>súdnistva</w:t>
            </w:r>
            <w:proofErr w:type="spellEnd"/>
            <w:r>
              <w:t xml:space="preserve">. In </w:t>
            </w:r>
            <w:proofErr w:type="spellStart"/>
            <w:r>
              <w:t>Jankuv</w:t>
            </w:r>
            <w:proofErr w:type="spellEnd"/>
            <w:r>
              <w:t>, J. (</w:t>
            </w:r>
            <w:proofErr w:type="spellStart"/>
            <w:r>
              <w:t>ed</w:t>
            </w:r>
            <w:proofErr w:type="spellEnd"/>
            <w:r>
              <w:t xml:space="preserve">.) Aktuálne otázky vývoja a súčasnej podoby medzinárodného a európskeho práva životného prostredia a vplyv medzinárodného a európskeho práva životného prostredia na právny poriadok Slovenskej republiky a Českej republiky. Trnava : </w:t>
            </w:r>
            <w:proofErr w:type="spellStart"/>
            <w:r>
              <w:t>Typi</w:t>
            </w:r>
            <w:proofErr w:type="spellEnd"/>
            <w:r>
              <w:t xml:space="preserve"> </w:t>
            </w:r>
            <w:proofErr w:type="spellStart"/>
            <w:r>
              <w:t>Universitatis</w:t>
            </w:r>
            <w:proofErr w:type="spellEnd"/>
            <w:r>
              <w:t xml:space="preserve"> </w:t>
            </w:r>
            <w:proofErr w:type="spellStart"/>
            <w:r>
              <w:t>Tyrnaviensis</w:t>
            </w:r>
            <w:proofErr w:type="spellEnd"/>
            <w:r>
              <w:t>, 2020, s. 221,232. ISBN 978-80-568-0336-3</w:t>
            </w:r>
          </w:p>
          <w:p w14:paraId="694C86A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lastRenderedPageBreak/>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0E66A55" w14:textId="7D0D38F0" w:rsidR="00FF6B5A" w:rsidRDefault="005D6234" w:rsidP="00317E9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 je príspevkom 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prebiehajúcej</w:t>
            </w:r>
            <w:r w:rsidR="007846F8">
              <w:rPr>
                <w:rFonts w:ascii="Calibri" w:eastAsia="Times New Roman" w:hAnsi="Calibri" w:cs="Times New Roman"/>
                <w:color w:val="000000"/>
                <w:lang w:eastAsia="sk-SK"/>
              </w:rPr>
              <w:t xml:space="preserve"> predovšetkým</w:t>
            </w:r>
            <w:r w:rsidR="00E8454F">
              <w:rPr>
                <w:rFonts w:ascii="Calibri" w:eastAsia="Times New Roman" w:hAnsi="Calibri" w:cs="Times New Roman"/>
                <w:color w:val="000000"/>
                <w:lang w:eastAsia="sk-SK"/>
              </w:rPr>
              <w:t xml:space="preserve"> na </w:t>
            </w:r>
            <w:r w:rsidR="009E4FF2">
              <w:rPr>
                <w:rFonts w:ascii="Calibri" w:eastAsia="Times New Roman" w:hAnsi="Calibri" w:cs="Times New Roman"/>
                <w:color w:val="000000"/>
                <w:lang w:eastAsia="sk-SK"/>
              </w:rPr>
              <w:t>medzinárodnom</w:t>
            </w:r>
            <w:r w:rsidR="001B3D63">
              <w:rPr>
                <w:rFonts w:ascii="Calibri" w:eastAsia="Times New Roman" w:hAnsi="Calibri" w:cs="Times New Roman"/>
                <w:color w:val="000000"/>
                <w:lang w:eastAsia="sk-SK"/>
              </w:rPr>
              <w:t xml:space="preserve"> </w:t>
            </w:r>
            <w:r w:rsidR="00E8454F">
              <w:rPr>
                <w:rFonts w:ascii="Calibri" w:eastAsia="Times New Roman" w:hAnsi="Calibri" w:cs="Times New Roman"/>
                <w:color w:val="000000"/>
                <w:lang w:eastAsia="sk-SK"/>
              </w:rPr>
              <w:t xml:space="preserve">fóre </w:t>
            </w:r>
            <w:r w:rsidR="007846F8">
              <w:rPr>
                <w:rFonts w:ascii="Calibri" w:eastAsia="Times New Roman" w:hAnsi="Calibri" w:cs="Times New Roman"/>
                <w:color w:val="000000"/>
                <w:lang w:eastAsia="sk-SK"/>
              </w:rPr>
              <w:t xml:space="preserve">a  v rámci </w:t>
            </w:r>
            <w:r w:rsidR="009E4FF2">
              <w:rPr>
                <w:rFonts w:ascii="Calibri" w:eastAsia="Times New Roman" w:hAnsi="Calibri" w:cs="Times New Roman"/>
                <w:color w:val="000000"/>
                <w:lang w:eastAsia="sk-SK"/>
              </w:rPr>
              <w:t>poľsko-</w:t>
            </w:r>
            <w:r w:rsidR="007846F8">
              <w:rPr>
                <w:rFonts w:ascii="Calibri" w:eastAsia="Times New Roman" w:hAnsi="Calibri" w:cs="Times New Roman"/>
                <w:color w:val="000000"/>
                <w:lang w:eastAsia="sk-SK"/>
              </w:rPr>
              <w:t xml:space="preserve">česko-slovenského právneho priestoru </w:t>
            </w:r>
            <w:r w:rsidR="00E8454F">
              <w:rPr>
                <w:rFonts w:ascii="Calibri" w:eastAsia="Times New Roman" w:hAnsi="Calibri" w:cs="Times New Roman"/>
                <w:color w:val="000000"/>
                <w:lang w:eastAsia="sk-SK"/>
              </w:rPr>
              <w:t>k</w:t>
            </w:r>
            <w:r w:rsidR="007846F8">
              <w:rPr>
                <w:rFonts w:ascii="Calibri" w:eastAsia="Times New Roman" w:hAnsi="Calibri" w:cs="Times New Roman"/>
                <w:color w:val="000000"/>
                <w:lang w:eastAsia="sk-SK"/>
              </w:rPr>
              <w:t> </w:t>
            </w:r>
            <w:r w:rsidR="00950EFB">
              <w:rPr>
                <w:rFonts w:ascii="Calibri" w:eastAsia="Times New Roman" w:hAnsi="Calibri" w:cs="Times New Roman"/>
                <w:color w:val="000000"/>
                <w:lang w:eastAsia="sk-SK"/>
              </w:rPr>
              <w:t>povahe</w:t>
            </w:r>
            <w:r w:rsidR="007846F8">
              <w:rPr>
                <w:rFonts w:ascii="Calibri" w:eastAsia="Times New Roman" w:hAnsi="Calibri" w:cs="Times New Roman"/>
                <w:color w:val="000000"/>
                <w:lang w:eastAsia="sk-SK"/>
              </w:rPr>
              <w:t xml:space="preserve"> </w:t>
            </w:r>
            <w:r w:rsidR="009E4FF2">
              <w:rPr>
                <w:rFonts w:ascii="Calibri" w:eastAsia="Times New Roman" w:hAnsi="Calibri" w:cs="Times New Roman"/>
                <w:color w:val="000000"/>
                <w:lang w:eastAsia="sk-SK"/>
              </w:rPr>
              <w:t>právnych nástrojov presadzovania ochrany životného prostredia</w:t>
            </w:r>
            <w:r w:rsidR="00211883">
              <w:rPr>
                <w:rFonts w:ascii="Calibri" w:eastAsia="Times New Roman" w:hAnsi="Calibri" w:cs="Times New Roman"/>
                <w:color w:val="000000"/>
                <w:lang w:eastAsia="sk-SK"/>
              </w:rPr>
              <w:t>.</w:t>
            </w:r>
          </w:p>
          <w:p w14:paraId="67966E74" w14:textId="21AA27AA" w:rsidR="0074791C" w:rsidRDefault="005517AF" w:rsidP="004776A7">
            <w:pPr>
              <w:jc w:val="both"/>
              <w:rPr>
                <w:rStyle w:val="apple-converted-space"/>
                <w:rFonts w:ascii="Calibri" w:hAnsi="Calibri" w:cs="Calibri"/>
                <w:color w:val="000000"/>
              </w:rPr>
            </w:pPr>
            <w:r>
              <w:rPr>
                <w:rStyle w:val="normaltextrun"/>
                <w:rFonts w:ascii="Calibri" w:hAnsi="Calibri" w:cs="Calibri"/>
                <w:color w:val="000000"/>
              </w:rPr>
              <w:lastRenderedPageBreak/>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je v</w:t>
            </w:r>
            <w:r w:rsidR="0074791C">
              <w:rPr>
                <w:rStyle w:val="normaltextrun"/>
                <w:rFonts w:ascii="Calibri" w:hAnsi="Calibri" w:cs="Calibri"/>
                <w:color w:val="000000"/>
              </w:rPr>
              <w:t>ýstup</w:t>
            </w:r>
            <w:r w:rsidR="0074791C">
              <w:rPr>
                <w:rStyle w:val="apple-converted-space"/>
                <w:rFonts w:ascii="Calibri" w:hAnsi="Calibri" w:cs="Calibri"/>
                <w:color w:val="000000"/>
              </w:rPr>
              <w:t> </w:t>
            </w:r>
            <w:r>
              <w:rPr>
                <w:rStyle w:val="normaltextrun"/>
                <w:rFonts w:ascii="Calibri" w:hAnsi="Calibri" w:cs="Calibri"/>
                <w:color w:val="000000"/>
              </w:rPr>
              <w:t xml:space="preserve"> </w:t>
            </w:r>
            <w:r w:rsidR="0074791C">
              <w:rPr>
                <w:rStyle w:val="normaltextrun"/>
                <w:rFonts w:ascii="Calibri" w:hAnsi="Calibri" w:cs="Calibri"/>
                <w:color w:val="000000"/>
              </w:rPr>
              <w:t>súčasťou </w:t>
            </w:r>
            <w:r w:rsidR="002E6FE9">
              <w:rPr>
                <w:rStyle w:val="normaltextrun"/>
                <w:rFonts w:ascii="Calibri" w:hAnsi="Calibri" w:cs="Calibri"/>
                <w:color w:val="000000"/>
              </w:rPr>
              <w:t xml:space="preserve">odbornej platformy, analyzujúcej </w:t>
            </w:r>
            <w:r w:rsidR="0084508B">
              <w:rPr>
                <w:rStyle w:val="normaltextrun"/>
                <w:rFonts w:ascii="Calibri" w:hAnsi="Calibri" w:cs="Calibri"/>
                <w:color w:val="000000"/>
              </w:rPr>
              <w:t>predovšetkým právne a politické</w:t>
            </w:r>
            <w:r w:rsidR="002E6FE9" w:rsidRPr="002E6FE9">
              <w:rPr>
                <w:rStyle w:val="normaltextrun"/>
                <w:rFonts w:ascii="Calibri" w:hAnsi="Calibri" w:cs="Calibri"/>
                <w:color w:val="000000"/>
              </w:rPr>
              <w:t xml:space="preserve"> východiská, ktoré by mohli </w:t>
            </w:r>
            <w:r w:rsidR="00B46709">
              <w:rPr>
                <w:rStyle w:val="normaltextrun"/>
                <w:rFonts w:ascii="Calibri" w:hAnsi="Calibri" w:cs="Calibri"/>
                <w:color w:val="000000"/>
              </w:rPr>
              <w:t>p</w:t>
            </w:r>
            <w:r w:rsidR="00B46709">
              <w:rPr>
                <w:rStyle w:val="normaltextrun"/>
                <w:rFonts w:cs="Calibri"/>
              </w:rPr>
              <w:t xml:space="preserve">resadiť </w:t>
            </w:r>
            <w:r w:rsidR="00211883">
              <w:rPr>
                <w:rStyle w:val="normaltextrun"/>
                <w:rFonts w:ascii="Calibri" w:hAnsi="Calibri" w:cs="Calibri"/>
                <w:color w:val="000000"/>
              </w:rPr>
              <w:t>striktnejšiu ú</w:t>
            </w:r>
            <w:r w:rsidR="00211883">
              <w:rPr>
                <w:rStyle w:val="normaltextrun"/>
                <w:rFonts w:cs="Calibri"/>
              </w:rPr>
              <w:t>stavnoprávnu, administratívnoprávnu a trestnoprávnu ochranu životného prostredia</w:t>
            </w:r>
            <w:r w:rsidR="0084508B">
              <w:rPr>
                <w:rStyle w:val="normaltextrun"/>
                <w:rFonts w:ascii="Calibri" w:hAnsi="Calibri" w:cs="Calibri"/>
                <w:color w:val="000000"/>
              </w:rPr>
              <w:t>.</w:t>
            </w:r>
            <w:r w:rsidR="0074791C">
              <w:rPr>
                <w:rStyle w:val="normaltextrun"/>
                <w:rFonts w:ascii="Calibri" w:hAnsi="Calibri" w:cs="Calibri"/>
                <w:color w:val="000000"/>
              </w:rPr>
              <w:t> </w:t>
            </w:r>
            <w:r w:rsidR="0074791C">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A7B07B7" w14:textId="77777777" w:rsidR="00211883" w:rsidRPr="00211883" w:rsidRDefault="00211883" w:rsidP="00211883">
            <w:pPr>
              <w:spacing w:after="0"/>
              <w:jc w:val="both"/>
              <w:rPr>
                <w:rFonts w:ascii="Calibri" w:eastAsia="Times New Roman" w:hAnsi="Calibri" w:cs="Times New Roman"/>
                <w:i/>
                <w:iCs/>
                <w:color w:val="000000"/>
                <w:lang w:val="en-US" w:eastAsia="sk-SK"/>
              </w:rPr>
            </w:pPr>
            <w:r w:rsidRPr="00211883">
              <w:rPr>
                <w:rFonts w:ascii="Calibri" w:eastAsia="Times New Roman" w:hAnsi="Calibri" w:cs="Times New Roman"/>
                <w:i/>
                <w:iCs/>
                <w:color w:val="000000"/>
                <w:lang w:val="en-US" w:eastAsia="sk-SK"/>
              </w:rPr>
              <w:t>The output is a contribution to the professional discussion taking place primarily in the international forum and within the Polish-Czech-Slovak legal space on the nature of legal instruments for the enforcement of environmental protection.</w:t>
            </w:r>
          </w:p>
          <w:p w14:paraId="2EB8AC82" w14:textId="4CE3BDB0" w:rsidR="0074791C" w:rsidRPr="00FF6B5A" w:rsidRDefault="00211883" w:rsidP="00211883">
            <w:pPr>
              <w:spacing w:after="0"/>
              <w:jc w:val="both"/>
              <w:rPr>
                <w:rFonts w:ascii="Calibri" w:eastAsia="Times New Roman" w:hAnsi="Calibri" w:cs="Times New Roman"/>
                <w:color w:val="000000"/>
                <w:lang w:eastAsia="sk-SK"/>
              </w:rPr>
            </w:pPr>
            <w:r w:rsidRPr="00211883">
              <w:rPr>
                <w:rFonts w:ascii="Calibri" w:eastAsia="Times New Roman" w:hAnsi="Calibri" w:cs="Times New Roman"/>
                <w:i/>
                <w:iCs/>
                <w:color w:val="000000"/>
                <w:lang w:val="en-US" w:eastAsia="sk-SK"/>
              </w:rPr>
              <w:t>In relation to the domestic legal environment, the output is part of a professional platform, analyzing primarily legal and political starting points that could lead to stricter constitutional, administrative and criminal protection of the environment.</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D5D8303" w14:textId="54B35A30" w:rsidR="00FF6B5A" w:rsidRDefault="00A44F05" w:rsidP="004173E3">
            <w:pPr>
              <w:spacing w:after="0"/>
              <w:jc w:val="both"/>
              <w:rPr>
                <w:rStyle w:val="normaltextrun"/>
                <w:rFonts w:cs="Calibri"/>
              </w:rPr>
            </w:pPr>
            <w:r>
              <w:rPr>
                <w:rFonts w:ascii="Calibri" w:eastAsia="Times New Roman" w:hAnsi="Calibri" w:cs="Times New Roman"/>
                <w:color w:val="000000"/>
                <w:lang w:eastAsia="sk-SK"/>
              </w:rPr>
              <w:t xml:space="preserve">Vedecký výstup je v širšom koncepte zasadený do rámca </w:t>
            </w:r>
            <w:r w:rsidR="0084508B">
              <w:rPr>
                <w:rFonts w:ascii="Calibri" w:eastAsia="Times New Roman" w:hAnsi="Calibri" w:cs="Times New Roman"/>
                <w:color w:val="000000"/>
                <w:lang w:eastAsia="sk-SK"/>
              </w:rPr>
              <w:t>s</w:t>
            </w:r>
            <w:r w:rsidR="0084508B">
              <w:rPr>
                <w:rFonts w:eastAsia="Times New Roman" w:cs="Times New Roman"/>
                <w:lang w:eastAsia="sk-SK"/>
              </w:rPr>
              <w:t xml:space="preserve">právneho </w:t>
            </w:r>
            <w:r>
              <w:rPr>
                <w:rFonts w:ascii="Calibri" w:eastAsia="Times New Roman" w:hAnsi="Calibri" w:cs="Times New Roman"/>
                <w:color w:val="000000"/>
                <w:lang w:eastAsia="sk-SK"/>
              </w:rPr>
              <w:t>práva</w:t>
            </w:r>
            <w:r w:rsidR="0084508B">
              <w:rPr>
                <w:rFonts w:ascii="Calibri" w:eastAsia="Times New Roman" w:hAnsi="Calibri" w:cs="Times New Roman"/>
                <w:color w:val="000000"/>
                <w:lang w:eastAsia="sk-SK"/>
              </w:rPr>
              <w:t>,</w:t>
            </w:r>
            <w:r w:rsidR="0084508B">
              <w:rPr>
                <w:rFonts w:eastAsia="Times New Roman" w:cs="Times New Roman"/>
                <w:lang w:eastAsia="sk-SK"/>
              </w:rPr>
              <w:t xml:space="preserve"> práva životného prostredia a trestného práva.</w:t>
            </w:r>
            <w:r>
              <w:rPr>
                <w:rFonts w:ascii="Calibri" w:eastAsia="Times New Roman" w:hAnsi="Calibri" w:cs="Times New Roman"/>
                <w:color w:val="000000"/>
                <w:lang w:eastAsia="sk-SK"/>
              </w:rPr>
              <w:t xml:space="preserve"> </w:t>
            </w:r>
            <w:r>
              <w:rPr>
                <w:rStyle w:val="normaltextrun"/>
                <w:rFonts w:ascii="Calibri" w:hAnsi="Calibri" w:cs="Calibri"/>
                <w:color w:val="000000"/>
              </w:rPr>
              <w:t>Do vzdelávacieho procesu sú z tohto</w:t>
            </w:r>
            <w:r>
              <w:rPr>
                <w:rStyle w:val="apple-converted-space"/>
                <w:rFonts w:ascii="Calibri" w:hAnsi="Calibri" w:cs="Calibri"/>
                <w:color w:val="000000"/>
              </w:rPr>
              <w:t> </w:t>
            </w:r>
            <w:r>
              <w:rPr>
                <w:rStyle w:val="normaltextrun"/>
                <w:rFonts w:ascii="Calibri" w:hAnsi="Calibri" w:cs="Calibri"/>
                <w:color w:val="000000"/>
              </w:rPr>
              <w:t>vedeckého</w:t>
            </w:r>
            <w:r>
              <w:rPr>
                <w:rStyle w:val="apple-converted-space"/>
                <w:rFonts w:ascii="Calibri" w:hAnsi="Calibri" w:cs="Calibri"/>
                <w:color w:val="000000"/>
              </w:rPr>
              <w:t> </w:t>
            </w:r>
            <w:r>
              <w:rPr>
                <w:rStyle w:val="normaltextrun"/>
                <w:rFonts w:ascii="Calibri" w:hAnsi="Calibri" w:cs="Calibri"/>
                <w:color w:val="000000"/>
              </w:rPr>
              <w:t xml:space="preserve">výstupu implementované poznatky </w:t>
            </w:r>
            <w:r w:rsidR="004576F5">
              <w:rPr>
                <w:rStyle w:val="normaltextrun"/>
                <w:rFonts w:ascii="Calibri" w:hAnsi="Calibri" w:cs="Calibri"/>
                <w:color w:val="000000"/>
              </w:rPr>
              <w:t xml:space="preserve">v rámci </w:t>
            </w:r>
            <w:r w:rsidR="00211883">
              <w:rPr>
                <w:rStyle w:val="normaltextrun"/>
                <w:rFonts w:ascii="Calibri" w:hAnsi="Calibri" w:cs="Calibri"/>
                <w:color w:val="000000"/>
              </w:rPr>
              <w:t xml:space="preserve">povinne voliteľné predmetu právo životného prostredia a v rámci </w:t>
            </w:r>
            <w:r w:rsidR="004576F5">
              <w:rPr>
                <w:rStyle w:val="normaltextrun"/>
                <w:rFonts w:ascii="Calibri" w:hAnsi="Calibri" w:cs="Calibri"/>
                <w:color w:val="000000"/>
              </w:rPr>
              <w:t xml:space="preserve">výberového predmetu </w:t>
            </w:r>
            <w:r w:rsidR="00211883">
              <w:rPr>
                <w:rStyle w:val="normaltextrun"/>
                <w:rFonts w:ascii="Calibri" w:hAnsi="Calibri" w:cs="Calibri"/>
                <w:color w:val="000000"/>
              </w:rPr>
              <w:t xml:space="preserve">environmentálne práva a využívanie prírodných zdrojov, ktoré sa primárne zameriavajú na verejnoprávne nástroje šetrného prístupu k životnému prostrediu. </w:t>
            </w:r>
          </w:p>
          <w:p w14:paraId="7B3E47CC" w14:textId="7494615D"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4576F5">
              <w:rPr>
                <w:rFonts w:ascii="Calibri" w:eastAsia="Times New Roman" w:hAnsi="Calibri" w:cs="Times New Roman"/>
                <w:color w:val="000000"/>
                <w:lang w:eastAsia="sk-SK"/>
              </w:rPr>
              <w:t>nakladaní s vodou</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587B6B65" w14:textId="11D3F4EF" w:rsidR="004173E3" w:rsidRDefault="004173E3" w:rsidP="004173E3">
            <w:pPr>
              <w:spacing w:after="0"/>
              <w:jc w:val="both"/>
              <w:rPr>
                <w:rFonts w:ascii="Calibri" w:eastAsia="Times New Roman" w:hAnsi="Calibri" w:cs="Times New Roman"/>
                <w:color w:val="000000"/>
                <w:lang w:eastAsia="sk-SK"/>
              </w:rPr>
            </w:pPr>
          </w:p>
          <w:p w14:paraId="18557E26" w14:textId="77777777" w:rsidR="00211883" w:rsidRPr="00211883" w:rsidRDefault="00211883" w:rsidP="00211883">
            <w:pPr>
              <w:spacing w:after="0"/>
              <w:jc w:val="both"/>
              <w:rPr>
                <w:rFonts w:ascii="Calibri" w:eastAsia="Times New Roman" w:hAnsi="Calibri" w:cs="Times New Roman"/>
                <w:i/>
                <w:color w:val="000000"/>
                <w:lang w:val="en-GB" w:eastAsia="sk-SK"/>
              </w:rPr>
            </w:pPr>
            <w:r w:rsidRPr="00211883">
              <w:rPr>
                <w:rFonts w:ascii="Calibri" w:eastAsia="Times New Roman" w:hAnsi="Calibri" w:cs="Times New Roman"/>
                <w:i/>
                <w:color w:val="000000"/>
                <w:lang w:val="en-GB" w:eastAsia="sk-SK"/>
              </w:rPr>
              <w:t>In a broader concept, scientific output is embedded in the framework of administrative law, environmental law and criminal law. Knowledge from this scientific output is implemented into the educational process within the mandatory optional subject environmental law and within the optional subject environmental rights and use of natural resources, which primarily focus on public law instruments of a gentle approach to the environment.</w:t>
            </w:r>
          </w:p>
          <w:p w14:paraId="3A89C4B1" w14:textId="22D526F0" w:rsidR="004173E3" w:rsidRPr="004576F5" w:rsidRDefault="00211883" w:rsidP="00211883">
            <w:pPr>
              <w:spacing w:after="0"/>
              <w:jc w:val="both"/>
              <w:rPr>
                <w:rFonts w:ascii="Calibri" w:eastAsia="Times New Roman" w:hAnsi="Calibri" w:cs="Times New Roman"/>
                <w:b/>
                <w:bCs/>
                <w:color w:val="000000"/>
                <w:lang w:eastAsia="sk-SK"/>
              </w:rPr>
            </w:pPr>
            <w:r w:rsidRPr="00211883">
              <w:rPr>
                <w:rFonts w:ascii="Calibri" w:eastAsia="Times New Roman" w:hAnsi="Calibri" w:cs="Times New Roman"/>
                <w:i/>
                <w:color w:val="000000"/>
                <w:lang w:val="en-GB" w:eastAsia="sk-SK"/>
              </w:rPr>
              <w:t>The output can be used as part of the educational process for a deeper investigation of the issue of water management, especially when writing final theses in the first and second degree of study, but also in research in the third degree of study.</w:t>
            </w:r>
          </w:p>
        </w:tc>
      </w:tr>
    </w:tbl>
    <w:p w14:paraId="5A6B231F" w14:textId="0C511408" w:rsidR="00C86832" w:rsidRPr="00FF6B5A" w:rsidRDefault="00C86832" w:rsidP="004358A8"/>
    <w:sectPr w:rsidR="00C86832" w:rsidRPr="00FF6B5A" w:rsidSect="008E2108">
      <w:headerReference w:type="even" r:id="rId27"/>
      <w:headerReference w:type="default" r:id="rId28"/>
      <w:footerReference w:type="even" r:id="rId29"/>
      <w:footerReference w:type="default" r:id="rId30"/>
      <w:headerReference w:type="first" r:id="rId31"/>
      <w:footerReference w:type="first" r:id="rId3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669D" w14:textId="77777777" w:rsidR="00854BD9" w:rsidRDefault="00854BD9" w:rsidP="00816E73">
      <w:pPr>
        <w:spacing w:after="0" w:line="240" w:lineRule="auto"/>
      </w:pPr>
      <w:r>
        <w:separator/>
      </w:r>
    </w:p>
  </w:endnote>
  <w:endnote w:type="continuationSeparator" w:id="0">
    <w:p w14:paraId="69DCDEEC" w14:textId="77777777" w:rsidR="00854BD9" w:rsidRDefault="00854BD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B954" w14:textId="77777777" w:rsidR="00854BD9" w:rsidRDefault="00854BD9" w:rsidP="00816E73">
      <w:pPr>
        <w:spacing w:after="0" w:line="240" w:lineRule="auto"/>
      </w:pPr>
      <w:r>
        <w:separator/>
      </w:r>
    </w:p>
  </w:footnote>
  <w:footnote w:type="continuationSeparator" w:id="0">
    <w:p w14:paraId="2653E94C" w14:textId="77777777" w:rsidR="00854BD9" w:rsidRDefault="00854BD9"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8088C"/>
    <w:rsid w:val="00087B3E"/>
    <w:rsid w:val="000A561A"/>
    <w:rsid w:val="000D1F22"/>
    <w:rsid w:val="000E043E"/>
    <w:rsid w:val="000E773A"/>
    <w:rsid w:val="00102D82"/>
    <w:rsid w:val="00112F47"/>
    <w:rsid w:val="001A42DD"/>
    <w:rsid w:val="001B3D63"/>
    <w:rsid w:val="001D03F4"/>
    <w:rsid w:val="001F26CD"/>
    <w:rsid w:val="00211883"/>
    <w:rsid w:val="002179A1"/>
    <w:rsid w:val="00222794"/>
    <w:rsid w:val="00242C6E"/>
    <w:rsid w:val="002E6FE9"/>
    <w:rsid w:val="00306877"/>
    <w:rsid w:val="00317E93"/>
    <w:rsid w:val="003345F2"/>
    <w:rsid w:val="003435CB"/>
    <w:rsid w:val="00387CE6"/>
    <w:rsid w:val="003E03CB"/>
    <w:rsid w:val="00413F82"/>
    <w:rsid w:val="004173E3"/>
    <w:rsid w:val="00422600"/>
    <w:rsid w:val="004358A8"/>
    <w:rsid w:val="004576F5"/>
    <w:rsid w:val="004656F6"/>
    <w:rsid w:val="004776A7"/>
    <w:rsid w:val="004A606B"/>
    <w:rsid w:val="004D5CBD"/>
    <w:rsid w:val="004E4845"/>
    <w:rsid w:val="004F0879"/>
    <w:rsid w:val="004F5815"/>
    <w:rsid w:val="00502F15"/>
    <w:rsid w:val="00532FE9"/>
    <w:rsid w:val="005517AF"/>
    <w:rsid w:val="00553060"/>
    <w:rsid w:val="00572798"/>
    <w:rsid w:val="005D6234"/>
    <w:rsid w:val="00675F63"/>
    <w:rsid w:val="006849EB"/>
    <w:rsid w:val="006F694B"/>
    <w:rsid w:val="006F6B13"/>
    <w:rsid w:val="0073087F"/>
    <w:rsid w:val="007353ED"/>
    <w:rsid w:val="0074791C"/>
    <w:rsid w:val="007846F8"/>
    <w:rsid w:val="0079528B"/>
    <w:rsid w:val="007D43B7"/>
    <w:rsid w:val="00811C62"/>
    <w:rsid w:val="00816E73"/>
    <w:rsid w:val="0084508B"/>
    <w:rsid w:val="008471D2"/>
    <w:rsid w:val="0085075E"/>
    <w:rsid w:val="00852CC7"/>
    <w:rsid w:val="00854BD9"/>
    <w:rsid w:val="00881702"/>
    <w:rsid w:val="00884925"/>
    <w:rsid w:val="008B78D7"/>
    <w:rsid w:val="008E2108"/>
    <w:rsid w:val="008E4E58"/>
    <w:rsid w:val="009378B9"/>
    <w:rsid w:val="00950EFB"/>
    <w:rsid w:val="009547F9"/>
    <w:rsid w:val="00975300"/>
    <w:rsid w:val="00980601"/>
    <w:rsid w:val="009A5365"/>
    <w:rsid w:val="009E4FF2"/>
    <w:rsid w:val="00A04338"/>
    <w:rsid w:val="00A10B6E"/>
    <w:rsid w:val="00A20D16"/>
    <w:rsid w:val="00A23768"/>
    <w:rsid w:val="00A44E1E"/>
    <w:rsid w:val="00A44F05"/>
    <w:rsid w:val="00AF5EF9"/>
    <w:rsid w:val="00B15040"/>
    <w:rsid w:val="00B34A5D"/>
    <w:rsid w:val="00B46709"/>
    <w:rsid w:val="00BA1526"/>
    <w:rsid w:val="00BF314A"/>
    <w:rsid w:val="00C16FE2"/>
    <w:rsid w:val="00C40D4D"/>
    <w:rsid w:val="00C86832"/>
    <w:rsid w:val="00D64B7C"/>
    <w:rsid w:val="00D733AB"/>
    <w:rsid w:val="00D81D79"/>
    <w:rsid w:val="00DA3A7D"/>
    <w:rsid w:val="00DC4C52"/>
    <w:rsid w:val="00DD0483"/>
    <w:rsid w:val="00DF77E6"/>
    <w:rsid w:val="00E8454F"/>
    <w:rsid w:val="00EC403D"/>
    <w:rsid w:val="00EC4DA2"/>
    <w:rsid w:val="00F1335A"/>
    <w:rsid w:val="00F165AB"/>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C1B20CB5-F208-42A6-B701-AF72C39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styleId="Nevyrieenzmienka">
    <w:name w:val="Unresolved Mention"/>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A20D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yperlink" Target="file:///E:\_Docs%20&amp;amp;%20Rozne\DOC\Doc\Zbornik&amp;amp;Doc\Nov&#253;\Nov&#253;_doc\__Webstr\z_POM\Doc\Nov&#253;\Hodnot%20sprava\Intranet\IMG%20web\Nov&#253;%20prie&#269;inok\T_Z_VTC_SjAj_1-2020.xlsx" TargetMode="External"/><Relationship Id="rId3" Type="http://schemas.openxmlformats.org/officeDocument/2006/relationships/customXml" Target="../customXml/item3.xml"/><Relationship Id="rId21" Type="http://schemas.openxmlformats.org/officeDocument/2006/relationships/hyperlink" Target="https://app.crepc.sk/?fn=detailBiblioForm&amp;sid=CA87A9B12B488714DA906AF4E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ortalvs.sk/regzam/detail/8900" TargetMode="External"/><Relationship Id="rId23" Type="http://schemas.openxmlformats.org/officeDocument/2006/relationships/hyperlink" Target="http://publikacie.iuridica.truni.sk/wp-content/uploads/2017/03/Verejn%C3%A1-spr%C3%A1va_TISK1.pdf" TargetMode="External"/><Relationship Id="rId28" Type="http://schemas.openxmlformats.org/officeDocument/2006/relationships/header" Target="header2.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http://ukftp.truni.sk/epc/13968.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3.xml><?xml version="1.0" encoding="utf-8"?>
<ds:datastoreItem xmlns:ds="http://schemas.openxmlformats.org/officeDocument/2006/customXml" ds:itemID="{817A8EA0-BC45-44B2-9702-F7815A4CCD58}">
  <ds:schemaRefs>
    <ds:schemaRef ds:uri="http://schemas.openxmlformats.org/officeDocument/2006/bibliography"/>
  </ds:schemaRefs>
</ds:datastoreItem>
</file>

<file path=customXml/itemProps4.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2132</Words>
  <Characters>12158</Characters>
  <Application>Microsoft Office Word</Application>
  <DocSecurity>0</DocSecurity>
  <Lines>101</Lines>
  <Paragraphs>28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Trnavska univerzita</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7</cp:revision>
  <dcterms:created xsi:type="dcterms:W3CDTF">2022-07-14T06:22:00Z</dcterms:created>
  <dcterms:modified xsi:type="dcterms:W3CDTF">2025-11-04T12:20:00Z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