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16"/>
        <w:gridCol w:w="2355"/>
        <w:gridCol w:w="7248"/>
      </w:tblGrid>
      <w:tr w:rsidR="00FF6B5A" w:rsidRPr="00FF6B5A" w14:paraId="6310AA65" w14:textId="77777777" w:rsidTr="726B92B3">
        <w:trPr>
          <w:trHeight w:val="204"/>
        </w:trPr>
        <w:tc>
          <w:tcPr>
            <w:tcW w:w="160" w:type="dxa"/>
            <w:shd w:val="clear" w:color="auto" w:fill="auto"/>
            <w:vAlign w:val="bottom"/>
            <w:hideMark/>
          </w:tcPr>
          <w:p w14:paraId="3D42234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2D50492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14:paraId="7C13991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248" w:type="dxa"/>
            <w:shd w:val="clear" w:color="auto" w:fill="auto"/>
            <w:hideMark/>
          </w:tcPr>
          <w:p w14:paraId="16E4D01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7317C696" w14:textId="77777777" w:rsidTr="726B92B3">
        <w:trPr>
          <w:trHeight w:val="450"/>
        </w:trPr>
        <w:tc>
          <w:tcPr>
            <w:tcW w:w="160" w:type="dxa"/>
            <w:shd w:val="clear" w:color="auto" w:fill="auto"/>
            <w:vAlign w:val="center"/>
            <w:hideMark/>
          </w:tcPr>
          <w:p w14:paraId="1165D7E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9919" w:type="dxa"/>
            <w:gridSpan w:val="3"/>
            <w:vMerge w:val="restart"/>
            <w:shd w:val="clear" w:color="auto" w:fill="2F5597"/>
            <w:vAlign w:val="center"/>
            <w:hideMark/>
          </w:tcPr>
          <w:p w14:paraId="0B19AD3D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1856B225" w14:textId="77777777" w:rsidTr="726B92B3">
        <w:trPr>
          <w:trHeight w:val="450"/>
        </w:trPr>
        <w:tc>
          <w:tcPr>
            <w:tcW w:w="160" w:type="dxa"/>
            <w:shd w:val="clear" w:color="auto" w:fill="auto"/>
            <w:vAlign w:val="center"/>
            <w:hideMark/>
          </w:tcPr>
          <w:p w14:paraId="722A68F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9919" w:type="dxa"/>
            <w:gridSpan w:val="3"/>
            <w:vMerge/>
            <w:vAlign w:val="center"/>
            <w:hideMark/>
          </w:tcPr>
          <w:p w14:paraId="600AC5E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187368C3" w14:textId="77777777" w:rsidTr="726B92B3">
        <w:trPr>
          <w:trHeight w:val="60"/>
        </w:trPr>
        <w:tc>
          <w:tcPr>
            <w:tcW w:w="160" w:type="dxa"/>
            <w:shd w:val="clear" w:color="auto" w:fill="auto"/>
            <w:vAlign w:val="bottom"/>
            <w:hideMark/>
          </w:tcPr>
          <w:p w14:paraId="50FCE1A6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10697D9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14:paraId="3A03CCF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248" w:type="dxa"/>
            <w:shd w:val="clear" w:color="auto" w:fill="auto"/>
            <w:hideMark/>
          </w:tcPr>
          <w:p w14:paraId="3EDBFC8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321F4825" w14:textId="77777777" w:rsidTr="726B92B3">
        <w:trPr>
          <w:trHeight w:val="375"/>
        </w:trPr>
        <w:tc>
          <w:tcPr>
            <w:tcW w:w="160" w:type="dxa"/>
            <w:shd w:val="clear" w:color="auto" w:fill="auto"/>
            <w:vAlign w:val="bottom"/>
            <w:hideMark/>
          </w:tcPr>
          <w:p w14:paraId="1E86D0A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9919" w:type="dxa"/>
            <w:gridSpan w:val="3"/>
            <w:vMerge w:val="restart"/>
            <w:shd w:val="clear" w:color="auto" w:fill="auto"/>
            <w:vAlign w:val="bottom"/>
            <w:hideMark/>
          </w:tcPr>
          <w:p w14:paraId="34FEE83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13892AB5" w14:textId="77777777" w:rsidTr="726B92B3">
        <w:trPr>
          <w:trHeight w:val="375"/>
        </w:trPr>
        <w:tc>
          <w:tcPr>
            <w:tcW w:w="160" w:type="dxa"/>
            <w:shd w:val="clear" w:color="auto" w:fill="auto"/>
            <w:vAlign w:val="bottom"/>
            <w:hideMark/>
          </w:tcPr>
          <w:p w14:paraId="751F75D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9919" w:type="dxa"/>
            <w:gridSpan w:val="3"/>
            <w:vMerge/>
            <w:vAlign w:val="center"/>
            <w:hideMark/>
          </w:tcPr>
          <w:p w14:paraId="52F81D4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605BD249" w14:textId="77777777" w:rsidTr="726B92B3">
        <w:trPr>
          <w:trHeight w:val="90"/>
        </w:trPr>
        <w:tc>
          <w:tcPr>
            <w:tcW w:w="160" w:type="dxa"/>
            <w:shd w:val="clear" w:color="auto" w:fill="auto"/>
            <w:vAlign w:val="bottom"/>
            <w:hideMark/>
          </w:tcPr>
          <w:p w14:paraId="10380E6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518DB5E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14:paraId="4487232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248" w:type="dxa"/>
            <w:shd w:val="clear" w:color="auto" w:fill="auto"/>
            <w:hideMark/>
          </w:tcPr>
          <w:p w14:paraId="0F5C3B4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1FC30B39" w14:textId="77777777" w:rsidTr="726B92B3">
        <w:trPr>
          <w:trHeight w:val="345"/>
        </w:trPr>
        <w:tc>
          <w:tcPr>
            <w:tcW w:w="160" w:type="dxa"/>
            <w:shd w:val="clear" w:color="auto" w:fill="auto"/>
            <w:vAlign w:val="bottom"/>
            <w:hideMark/>
          </w:tcPr>
          <w:p w14:paraId="3D9F282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1DD3BCF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5" w:type="dxa"/>
            <w:shd w:val="clear" w:color="auto" w:fill="D9E1F2"/>
            <w:vAlign w:val="center"/>
            <w:hideMark/>
          </w:tcPr>
          <w:p w14:paraId="5F04A83E" w14:textId="77777777" w:rsidR="00FF6B5A" w:rsidRPr="00FF6B5A" w:rsidRDefault="000A2661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7248" w:type="dxa"/>
            <w:shd w:val="clear" w:color="auto" w:fill="auto"/>
            <w:hideMark/>
          </w:tcPr>
          <w:p w14:paraId="50B736E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5480C31B" w14:textId="77777777" w:rsidTr="726B92B3">
        <w:trPr>
          <w:trHeight w:val="345"/>
        </w:trPr>
        <w:tc>
          <w:tcPr>
            <w:tcW w:w="160" w:type="dxa"/>
            <w:shd w:val="clear" w:color="auto" w:fill="auto"/>
            <w:vAlign w:val="bottom"/>
            <w:hideMark/>
          </w:tcPr>
          <w:p w14:paraId="18925D7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4218EE0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2355" w:type="dxa"/>
            <w:shd w:val="clear" w:color="auto" w:fill="D9E1F2"/>
            <w:vAlign w:val="center"/>
            <w:hideMark/>
          </w:tcPr>
          <w:p w14:paraId="516F90A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7248" w:type="dxa"/>
            <w:shd w:val="clear" w:color="auto" w:fill="auto"/>
            <w:hideMark/>
          </w:tcPr>
          <w:p w14:paraId="400D2CE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5C2C5DAD" w14:textId="77777777" w:rsidTr="726B92B3">
        <w:trPr>
          <w:trHeight w:val="405"/>
        </w:trPr>
        <w:tc>
          <w:tcPr>
            <w:tcW w:w="160" w:type="dxa"/>
            <w:shd w:val="clear" w:color="auto" w:fill="auto"/>
            <w:vAlign w:val="bottom"/>
            <w:hideMark/>
          </w:tcPr>
          <w:p w14:paraId="6AC9C23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592BB46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14:paraId="7CB4D51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248" w:type="dxa"/>
            <w:shd w:val="clear" w:color="auto" w:fill="auto"/>
            <w:hideMark/>
          </w:tcPr>
          <w:p w14:paraId="4060C9D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15E8949A" w14:textId="77777777" w:rsidTr="726B92B3">
        <w:trPr>
          <w:trHeight w:val="510"/>
        </w:trPr>
        <w:tc>
          <w:tcPr>
            <w:tcW w:w="160" w:type="dxa"/>
            <w:shd w:val="clear" w:color="auto" w:fill="auto"/>
            <w:vAlign w:val="bottom"/>
            <w:hideMark/>
          </w:tcPr>
          <w:p w14:paraId="2D129981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9E1F2"/>
            <w:vAlign w:val="center"/>
            <w:hideMark/>
          </w:tcPr>
          <w:p w14:paraId="3D97B3AB" w14:textId="77777777" w:rsidR="00FF6B5A" w:rsidRPr="00FF6B5A" w:rsidRDefault="000A2661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7248" w:type="dxa"/>
            <w:shd w:val="clear" w:color="auto" w:fill="auto"/>
            <w:hideMark/>
          </w:tcPr>
          <w:p w14:paraId="7FD47DBC" w14:textId="0731AA1B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43C52">
              <w:rPr>
                <w:rFonts w:ascii="Calibri" w:eastAsia="Times New Roman" w:hAnsi="Calibri" w:cs="Times New Roman"/>
                <w:color w:val="000000"/>
                <w:lang w:eastAsia="sk-SK"/>
              </w:rPr>
              <w:t>Jurčová</w:t>
            </w:r>
          </w:p>
        </w:tc>
      </w:tr>
      <w:tr w:rsidR="00FF6B5A" w:rsidRPr="00FF6B5A" w14:paraId="3B1F13F9" w14:textId="77777777" w:rsidTr="726B92B3">
        <w:trPr>
          <w:trHeight w:val="315"/>
        </w:trPr>
        <w:tc>
          <w:tcPr>
            <w:tcW w:w="160" w:type="dxa"/>
            <w:shd w:val="clear" w:color="auto" w:fill="auto"/>
            <w:vAlign w:val="bottom"/>
            <w:hideMark/>
          </w:tcPr>
          <w:p w14:paraId="1699A2C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9E1F2"/>
            <w:vAlign w:val="center"/>
            <w:hideMark/>
          </w:tcPr>
          <w:p w14:paraId="1F07578F" w14:textId="77777777" w:rsidR="00FF6B5A" w:rsidRPr="00FF6B5A" w:rsidRDefault="000A2661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7248" w:type="dxa"/>
            <w:shd w:val="clear" w:color="auto" w:fill="auto"/>
            <w:hideMark/>
          </w:tcPr>
          <w:p w14:paraId="77B6CE8E" w14:textId="0C8BC93C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43C52">
              <w:rPr>
                <w:rFonts w:ascii="Calibri" w:eastAsia="Times New Roman" w:hAnsi="Calibri" w:cs="Times New Roman"/>
                <w:color w:val="000000"/>
                <w:lang w:eastAsia="sk-SK"/>
              </w:rPr>
              <w:t>Monika</w:t>
            </w:r>
          </w:p>
        </w:tc>
      </w:tr>
      <w:tr w:rsidR="00FF6B5A" w:rsidRPr="00FF6B5A" w14:paraId="13A9B15A" w14:textId="77777777" w:rsidTr="726B92B3">
        <w:trPr>
          <w:trHeight w:val="510"/>
        </w:trPr>
        <w:tc>
          <w:tcPr>
            <w:tcW w:w="160" w:type="dxa"/>
            <w:shd w:val="clear" w:color="auto" w:fill="auto"/>
            <w:vAlign w:val="bottom"/>
            <w:hideMark/>
          </w:tcPr>
          <w:p w14:paraId="324E10F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9E1F2"/>
            <w:vAlign w:val="center"/>
            <w:hideMark/>
          </w:tcPr>
          <w:p w14:paraId="77EEE2CC" w14:textId="77777777" w:rsidR="00FF6B5A" w:rsidRPr="00FF6B5A" w:rsidRDefault="000A2661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7248" w:type="dxa"/>
            <w:shd w:val="clear" w:color="auto" w:fill="auto"/>
            <w:hideMark/>
          </w:tcPr>
          <w:p w14:paraId="227F95FC" w14:textId="0D0251EC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43C52">
              <w:rPr>
                <w:rFonts w:ascii="Calibri" w:eastAsia="Times New Roman" w:hAnsi="Calibri" w:cs="Times New Roman"/>
                <w:color w:val="000000"/>
                <w:lang w:eastAsia="sk-SK"/>
              </w:rPr>
              <w:t>doc. JUDr. PhD.</w:t>
            </w:r>
          </w:p>
        </w:tc>
      </w:tr>
      <w:tr w:rsidR="00FF6B5A" w:rsidRPr="00FF6B5A" w14:paraId="3E131030" w14:textId="77777777" w:rsidTr="726B92B3">
        <w:trPr>
          <w:trHeight w:val="660"/>
        </w:trPr>
        <w:tc>
          <w:tcPr>
            <w:tcW w:w="160" w:type="dxa"/>
            <w:shd w:val="clear" w:color="auto" w:fill="auto"/>
            <w:vAlign w:val="bottom"/>
            <w:hideMark/>
          </w:tcPr>
          <w:p w14:paraId="7005842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9E1F2"/>
            <w:vAlign w:val="center"/>
            <w:hideMark/>
          </w:tcPr>
          <w:p w14:paraId="1EAB26A2" w14:textId="77777777" w:rsidR="00FF6B5A" w:rsidRPr="00A15020" w:rsidRDefault="000A2661" w:rsidP="004E484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hyperlink r:id="rId15" w:anchor="'poznamky_explanatory notes'!A1" w:history="1"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 xml:space="preserve">OCA4. </w:t>
              </w:r>
              <w:proofErr w:type="spellStart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>Hyperlink</w:t>
              </w:r>
              <w:proofErr w:type="spellEnd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>Hyperlink</w:t>
              </w:r>
              <w:proofErr w:type="spellEnd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 xml:space="preserve"> to </w:t>
              </w:r>
              <w:proofErr w:type="spellStart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>the</w:t>
              </w:r>
              <w:proofErr w:type="spellEnd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 xml:space="preserve"> </w:t>
              </w:r>
              <w:proofErr w:type="spellStart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>entry</w:t>
              </w:r>
              <w:proofErr w:type="spellEnd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 xml:space="preserve"> of </w:t>
              </w:r>
              <w:proofErr w:type="spellStart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>the</w:t>
              </w:r>
              <w:proofErr w:type="spellEnd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 xml:space="preserve"> person in </w:t>
              </w:r>
              <w:proofErr w:type="spellStart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>the</w:t>
              </w:r>
              <w:proofErr w:type="spellEnd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 xml:space="preserve"> Register of </w:t>
              </w:r>
              <w:proofErr w:type="spellStart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>university</w:t>
              </w:r>
              <w:proofErr w:type="spellEnd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 xml:space="preserve"> </w:t>
              </w:r>
              <w:proofErr w:type="spellStart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>staff</w:t>
              </w:r>
              <w:proofErr w:type="spellEnd"/>
              <w:r w:rsidR="00FF6B5A" w:rsidRPr="00A15020">
                <w:rPr>
                  <w:rFonts w:ascii="Calibri" w:eastAsia="Times New Roman" w:hAnsi="Calibri" w:cs="Times New Roman"/>
                  <w:color w:val="000000" w:themeColor="text1"/>
                  <w:lang w:eastAsia="sk-SK"/>
                </w:rPr>
                <w:t xml:space="preserve"> </w:t>
              </w:r>
            </w:hyperlink>
            <w:r w:rsidR="004E4845" w:rsidRPr="00A15020">
              <w:rPr>
                <w:rStyle w:val="Odkaznapoznmkupodiarou"/>
                <w:rFonts w:ascii="Calibri" w:eastAsia="Times New Roman" w:hAnsi="Calibri" w:cs="Times New Roman"/>
                <w:color w:val="000000" w:themeColor="text1"/>
                <w:lang w:eastAsia="sk-SK"/>
              </w:rPr>
              <w:footnoteReference w:id="3"/>
            </w:r>
          </w:p>
        </w:tc>
        <w:tc>
          <w:tcPr>
            <w:tcW w:w="7248" w:type="dxa"/>
            <w:shd w:val="clear" w:color="auto" w:fill="auto"/>
            <w:hideMark/>
          </w:tcPr>
          <w:p w14:paraId="2B5657FB" w14:textId="77777777" w:rsidR="00543C52" w:rsidRPr="00A15020" w:rsidRDefault="00FF6B5A" w:rsidP="00543C52">
            <w:pPr>
              <w:rPr>
                <w:color w:val="000000" w:themeColor="text1"/>
              </w:rPr>
            </w:pPr>
            <w:r w:rsidRPr="00A15020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 </w:t>
            </w:r>
            <w:r w:rsidR="00543C52" w:rsidRPr="00A15020">
              <w:rPr>
                <w:rStyle w:val="normaltextrun"/>
                <w:rFonts w:ascii="Calibri" w:hAnsi="Calibri" w:cs="Calibri"/>
                <w:color w:val="000000" w:themeColor="text1"/>
              </w:rPr>
              <w:t> </w:t>
            </w:r>
            <w:hyperlink r:id="rId16" w:tgtFrame="_blank" w:history="1">
              <w:r w:rsidR="00543C52" w:rsidRPr="00A15020">
                <w:rPr>
                  <w:rStyle w:val="normaltextrun"/>
                  <w:rFonts w:ascii="Calibri" w:hAnsi="Calibri" w:cs="Calibri"/>
                  <w:color w:val="000000" w:themeColor="text1"/>
                  <w:u w:val="single"/>
                </w:rPr>
                <w:t>https://www.portalvs.sk/regzam/detail/8754?do=filterForm-submit&amp;name=Monika&amp;surname=Jurčová&amp;university=713000000&amp;faculty=713050000&amp;sort=surname&amp;employment_state=yes&amp;filter=Vyhľadať</w:t>
              </w:r>
            </w:hyperlink>
            <w:r w:rsidR="00543C52" w:rsidRPr="00A15020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  <w:p w14:paraId="26F5C854" w14:textId="2A7A0A02" w:rsidR="00FF6B5A" w:rsidRPr="00A15020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</w:p>
        </w:tc>
      </w:tr>
      <w:tr w:rsidR="00FF6B5A" w:rsidRPr="00FF6B5A" w14:paraId="6B1C1AC5" w14:textId="77777777" w:rsidTr="726B92B3">
        <w:trPr>
          <w:trHeight w:val="300"/>
        </w:trPr>
        <w:tc>
          <w:tcPr>
            <w:tcW w:w="160" w:type="dxa"/>
            <w:shd w:val="clear" w:color="auto" w:fill="auto"/>
            <w:vAlign w:val="bottom"/>
            <w:hideMark/>
          </w:tcPr>
          <w:p w14:paraId="7C60DAD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9E1F2"/>
            <w:vAlign w:val="center"/>
            <w:hideMark/>
          </w:tcPr>
          <w:p w14:paraId="2AB7C53E" w14:textId="77777777" w:rsidR="00FF6B5A" w:rsidRPr="00FF6B5A" w:rsidRDefault="000A2661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7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7248" w:type="dxa"/>
            <w:shd w:val="clear" w:color="auto" w:fill="auto"/>
            <w:hideMark/>
          </w:tcPr>
          <w:p w14:paraId="6716A746" w14:textId="04658E67" w:rsidR="00FF6B5A" w:rsidRPr="00FF6B5A" w:rsidRDefault="00FF6B5A" w:rsidP="00422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A2661" w:rsidRPr="001754C9">
              <w:rPr>
                <w:rFonts w:eastAsia="Times New Roman" w:cstheme="minorHAnsi"/>
                <w:lang w:eastAsia="sk-SK"/>
              </w:rPr>
              <w:t xml:space="preserve">Študijný program Občianske právo, 3. stupeň / </w:t>
            </w:r>
            <w:proofErr w:type="spellStart"/>
            <w:r w:rsidR="000A2661" w:rsidRPr="001754C9">
              <w:rPr>
                <w:rFonts w:eastAsia="Times New Roman" w:cstheme="minorHAnsi"/>
                <w:lang w:eastAsia="sk-SK"/>
              </w:rPr>
              <w:t>Third</w:t>
            </w:r>
            <w:proofErr w:type="spellEnd"/>
            <w:r w:rsidR="000A2661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A2661" w:rsidRPr="001754C9">
              <w:rPr>
                <w:rFonts w:eastAsia="Times New Roman" w:cstheme="minorHAnsi"/>
                <w:lang w:eastAsia="sk-SK"/>
              </w:rPr>
              <w:t>degree</w:t>
            </w:r>
            <w:proofErr w:type="spellEnd"/>
            <w:r w:rsidR="000A2661" w:rsidRPr="001754C9">
              <w:rPr>
                <w:rFonts w:eastAsia="Times New Roman" w:cstheme="minorHAnsi"/>
                <w:lang w:eastAsia="sk-SK"/>
              </w:rPr>
              <w:t xml:space="preserve"> study programe "Civil </w:t>
            </w:r>
            <w:proofErr w:type="spellStart"/>
            <w:r w:rsidR="000A2661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0A2661" w:rsidRPr="001754C9">
              <w:rPr>
                <w:rFonts w:eastAsia="Times New Roman" w:cstheme="minorHAnsi"/>
                <w:lang w:eastAsia="sk-SK"/>
              </w:rPr>
              <w:t xml:space="preserve">" / Odbor habilitačného a inauguračného konania  "Občianske právo" / </w:t>
            </w:r>
            <w:proofErr w:type="spellStart"/>
            <w:r w:rsidR="000A2661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0A2661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A2661" w:rsidRPr="001754C9">
              <w:rPr>
                <w:rFonts w:eastAsia="Times New Roman" w:cstheme="minorHAnsi"/>
                <w:lang w:eastAsia="sk-SK"/>
              </w:rPr>
              <w:t>field</w:t>
            </w:r>
            <w:proofErr w:type="spellEnd"/>
            <w:r w:rsidR="000A2661" w:rsidRPr="001754C9">
              <w:rPr>
                <w:rFonts w:eastAsia="Times New Roman" w:cstheme="minorHAnsi"/>
                <w:lang w:eastAsia="sk-SK"/>
              </w:rPr>
              <w:t xml:space="preserve"> of </w:t>
            </w:r>
            <w:proofErr w:type="spellStart"/>
            <w:r w:rsidR="000A2661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0A2661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A2661" w:rsidRPr="001754C9">
              <w:rPr>
                <w:rFonts w:eastAsia="Times New Roman" w:cstheme="minorHAnsi"/>
                <w:lang w:eastAsia="sk-SK"/>
              </w:rPr>
              <w:t>habilitation</w:t>
            </w:r>
            <w:proofErr w:type="spellEnd"/>
            <w:r w:rsidR="000A2661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A2661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0A2661" w:rsidRPr="001754C9">
              <w:rPr>
                <w:rFonts w:eastAsia="Times New Roman" w:cstheme="minorHAnsi"/>
                <w:lang w:eastAsia="sk-SK"/>
              </w:rPr>
              <w:t xml:space="preserve"> and </w:t>
            </w:r>
            <w:proofErr w:type="spellStart"/>
            <w:r w:rsidR="000A2661" w:rsidRPr="001754C9">
              <w:rPr>
                <w:rFonts w:eastAsia="Times New Roman" w:cstheme="minorHAnsi"/>
                <w:lang w:eastAsia="sk-SK"/>
              </w:rPr>
              <w:t>inaugural</w:t>
            </w:r>
            <w:proofErr w:type="spellEnd"/>
            <w:r w:rsidR="000A2661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A2661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0A2661" w:rsidRPr="001754C9">
              <w:rPr>
                <w:rFonts w:eastAsia="Times New Roman" w:cstheme="minorHAnsi"/>
                <w:lang w:eastAsia="sk-SK"/>
              </w:rPr>
              <w:t xml:space="preserve">: "Civil </w:t>
            </w:r>
            <w:proofErr w:type="spellStart"/>
            <w:r w:rsidR="000A2661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0A2661" w:rsidRPr="001754C9">
              <w:rPr>
                <w:rFonts w:eastAsia="Times New Roman" w:cstheme="minorHAnsi"/>
                <w:lang w:eastAsia="sk-SK"/>
              </w:rPr>
              <w:t>"</w:t>
            </w:r>
          </w:p>
        </w:tc>
      </w:tr>
      <w:tr w:rsidR="008E2108" w:rsidRPr="00FF6B5A" w14:paraId="1FF56F96" w14:textId="77777777" w:rsidTr="726B92B3">
        <w:trPr>
          <w:trHeight w:val="300"/>
        </w:trPr>
        <w:tc>
          <w:tcPr>
            <w:tcW w:w="160" w:type="dxa"/>
            <w:shd w:val="clear" w:color="auto" w:fill="auto"/>
            <w:vAlign w:val="bottom"/>
          </w:tcPr>
          <w:p w14:paraId="303BD873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5DCE4" w:themeFill="text2" w:themeFillTint="33"/>
            <w:vAlign w:val="center"/>
          </w:tcPr>
          <w:p w14:paraId="02EB8860" w14:textId="08449128" w:rsidR="008E2108" w:rsidRDefault="3FE46B6A" w:rsidP="726B92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26B92B3">
              <w:rPr>
                <w:rFonts w:ascii="Calibri" w:eastAsia="Calibri" w:hAnsi="Calibri" w:cs="Calibri"/>
              </w:rPr>
              <w:t>Zaradenie (PF TU)</w:t>
            </w:r>
          </w:p>
        </w:tc>
        <w:tc>
          <w:tcPr>
            <w:tcW w:w="7248" w:type="dxa"/>
            <w:shd w:val="clear" w:color="auto" w:fill="auto"/>
          </w:tcPr>
          <w:p w14:paraId="20DB8120" w14:textId="7C824CF7" w:rsidR="008E2108" w:rsidRPr="00FF6B5A" w:rsidRDefault="00543C5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726B92B3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A+</w:t>
            </w:r>
          </w:p>
        </w:tc>
      </w:tr>
      <w:tr w:rsidR="00FF6B5A" w:rsidRPr="00FF6B5A" w14:paraId="518F8B08" w14:textId="77777777" w:rsidTr="726B92B3">
        <w:trPr>
          <w:trHeight w:val="660"/>
        </w:trPr>
        <w:tc>
          <w:tcPr>
            <w:tcW w:w="160" w:type="dxa"/>
            <w:shd w:val="clear" w:color="auto" w:fill="auto"/>
            <w:vAlign w:val="bottom"/>
            <w:hideMark/>
          </w:tcPr>
          <w:p w14:paraId="25C6987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9E1F2"/>
            <w:vAlign w:val="center"/>
            <w:hideMark/>
          </w:tcPr>
          <w:p w14:paraId="4ED51328" w14:textId="77777777" w:rsidR="00FF6B5A" w:rsidRDefault="000A2661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8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5F4CC942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7248" w:type="dxa"/>
            <w:shd w:val="clear" w:color="auto" w:fill="auto"/>
            <w:hideMark/>
          </w:tcPr>
          <w:p w14:paraId="1165C12E" w14:textId="5236F894" w:rsidR="00A15020" w:rsidRDefault="00A15020" w:rsidP="00A15020">
            <w:r>
              <w:rPr>
                <w:rStyle w:val="normaltextrun"/>
                <w:rFonts w:ascii="Calibri" w:hAnsi="Calibri" w:cs="Calibri"/>
              </w:rPr>
              <w:lastRenderedPageBreak/>
              <w:t xml:space="preserve">vedecký výstup /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scientific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output</w:t>
            </w:r>
          </w:p>
          <w:p w14:paraId="54AD2BE2" w14:textId="07B0B650" w:rsidR="00FF6B5A" w:rsidRPr="001F2D04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eastAsia="sk-SK"/>
              </w:rPr>
            </w:pPr>
          </w:p>
          <w:p w14:paraId="7A17243B" w14:textId="36C5C4E8" w:rsidR="008E7E49" w:rsidRPr="001F2D04" w:rsidRDefault="008E7E49" w:rsidP="008E7E49">
            <w:pPr>
              <w:rPr>
                <w:rFonts w:ascii="Segoe UI" w:hAnsi="Segoe UI" w:cs="Segoe UI"/>
                <w:i/>
                <w:color w:val="262626"/>
              </w:rPr>
            </w:pPr>
            <w:r w:rsidRPr="001F2D04">
              <w:rPr>
                <w:rStyle w:val="apple-converted-space"/>
                <w:rFonts w:ascii="Segoe UI" w:hAnsi="Segoe UI" w:cs="Segoe UI"/>
                <w:i/>
                <w:color w:val="262626"/>
              </w:rPr>
              <w:t> </w:t>
            </w:r>
          </w:p>
          <w:p w14:paraId="26F21D87" w14:textId="55A0DE0A" w:rsidR="008E7E49" w:rsidRDefault="008E7E49" w:rsidP="008E7E49"/>
          <w:p w14:paraId="4F4D3256" w14:textId="64D5D528" w:rsidR="008E7E49" w:rsidRDefault="008E7E49" w:rsidP="008E7E49"/>
          <w:p w14:paraId="1FD1E01D" w14:textId="00122F4C" w:rsidR="008E7E49" w:rsidRPr="00422600" w:rsidRDefault="008E7E49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</w:p>
        </w:tc>
      </w:tr>
      <w:tr w:rsidR="00FF6B5A" w:rsidRPr="00FF6B5A" w14:paraId="6CDCFCE9" w14:textId="77777777" w:rsidTr="726B92B3">
        <w:trPr>
          <w:trHeight w:val="510"/>
        </w:trPr>
        <w:tc>
          <w:tcPr>
            <w:tcW w:w="160" w:type="dxa"/>
            <w:shd w:val="clear" w:color="auto" w:fill="auto"/>
            <w:vAlign w:val="bottom"/>
            <w:hideMark/>
          </w:tcPr>
          <w:p w14:paraId="0AD58B3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AE3F3"/>
            <w:vAlign w:val="center"/>
            <w:hideMark/>
          </w:tcPr>
          <w:p w14:paraId="3D4AD0F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7248" w:type="dxa"/>
            <w:shd w:val="clear" w:color="auto" w:fill="auto"/>
            <w:hideMark/>
          </w:tcPr>
          <w:p w14:paraId="7A3F639A" w14:textId="73B85D2A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E7E49"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  <w:r w:rsid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14</w:t>
            </w:r>
          </w:p>
        </w:tc>
      </w:tr>
      <w:tr w:rsidR="00FF6B5A" w:rsidRPr="00FF6B5A" w14:paraId="7E3C7493" w14:textId="77777777" w:rsidTr="726B92B3">
        <w:trPr>
          <w:trHeight w:val="660"/>
        </w:trPr>
        <w:tc>
          <w:tcPr>
            <w:tcW w:w="160" w:type="dxa"/>
            <w:shd w:val="clear" w:color="auto" w:fill="auto"/>
            <w:vAlign w:val="bottom"/>
            <w:hideMark/>
          </w:tcPr>
          <w:p w14:paraId="74DF5B1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9E1F2"/>
            <w:vAlign w:val="center"/>
            <w:hideMark/>
          </w:tcPr>
          <w:p w14:paraId="37B7A46E" w14:textId="77777777" w:rsidR="00FF6B5A" w:rsidRPr="00FF6B5A" w:rsidRDefault="000A2661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7248" w:type="dxa"/>
            <w:shd w:val="clear" w:color="auto" w:fill="auto"/>
            <w:hideMark/>
          </w:tcPr>
          <w:p w14:paraId="605751D0" w14:textId="77777777" w:rsidR="00D65474" w:rsidRDefault="00D65474" w:rsidP="00D65474"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ID: 133652 | </w:t>
            </w:r>
            <w:r>
              <w:rPr>
                <w:rStyle w:val="Vrazn"/>
              </w:rPr>
              <w:t xml:space="preserve">TENLAW: </w:t>
            </w:r>
            <w:proofErr w:type="spellStart"/>
            <w:r>
              <w:rPr>
                <w:rStyle w:val="Vrazn"/>
              </w:rPr>
              <w:t>Tenancy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law</w:t>
            </w:r>
            <w:proofErr w:type="spellEnd"/>
            <w:r>
              <w:rPr>
                <w:rStyle w:val="Vrazn"/>
              </w:rPr>
              <w:t xml:space="preserve"> and </w:t>
            </w:r>
            <w:proofErr w:type="spellStart"/>
            <w:r>
              <w:rPr>
                <w:rStyle w:val="Vrazn"/>
              </w:rPr>
              <w:t>housing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policy</w:t>
            </w:r>
            <w:proofErr w:type="spellEnd"/>
            <w:r>
              <w:rPr>
                <w:rStyle w:val="Vrazn"/>
              </w:rPr>
              <w:t xml:space="preserve"> in </w:t>
            </w:r>
            <w:proofErr w:type="spellStart"/>
            <w:r>
              <w:rPr>
                <w:rStyle w:val="Vrazn"/>
              </w:rPr>
              <w:t>multi</w:t>
            </w:r>
            <w:proofErr w:type="spellEnd"/>
            <w:r>
              <w:rPr>
                <w:rStyle w:val="Vrazn"/>
              </w:rPr>
              <w:t xml:space="preserve">-level </w:t>
            </w:r>
            <w:proofErr w:type="spellStart"/>
            <w:r>
              <w:rPr>
                <w:rStyle w:val="Vrazn"/>
              </w:rPr>
              <w:t>Europe</w:t>
            </w:r>
            <w:proofErr w:type="spellEnd"/>
            <w:r>
              <w:rPr>
                <w:rStyle w:val="apple-converted-space"/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[elektronický dokument] :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national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report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for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Slovakia /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Štefanko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, Jozef [Autor, 60%] ; Jurčová, Monika [Autor, 30%] ; Filo, Matúš [Autor, 2%] ;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Štefanková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, Zuzana [Autor, 8%] ;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Cornelius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Julia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[Recenzent] ;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Ojamäe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Liis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[Recenzent] ;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Ploeger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Hendrik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[Recenzent]. – 1. vyd. –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Bremen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(Nemecko) :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Zentrum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für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Europäische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Rechtspolitik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der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Universität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>Bremen</w:t>
            </w:r>
            <w:proofErr w:type="spellEnd"/>
            <w:r>
              <w:rPr>
                <w:rFonts w:ascii="Helvetica Neue" w:hAnsi="Helvetica Neue"/>
                <w:color w:val="333333"/>
                <w:sz w:val="20"/>
                <w:szCs w:val="20"/>
                <w:shd w:val="clear" w:color="auto" w:fill="FFFFFF"/>
              </w:rPr>
              <w:t xml:space="preserve"> (ZERP), 2014. – 255 s. [online]</w:t>
            </w:r>
          </w:p>
          <w:p w14:paraId="1B2BE6A8" w14:textId="138D8080" w:rsidR="00422600" w:rsidRPr="00FF6B5A" w:rsidRDefault="00422600" w:rsidP="00D6547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488E438E" w14:textId="77777777" w:rsidTr="726B92B3">
        <w:trPr>
          <w:trHeight w:val="525"/>
        </w:trPr>
        <w:tc>
          <w:tcPr>
            <w:tcW w:w="160" w:type="dxa"/>
            <w:shd w:val="clear" w:color="auto" w:fill="auto"/>
            <w:vAlign w:val="bottom"/>
            <w:hideMark/>
          </w:tcPr>
          <w:p w14:paraId="7051186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9E1F2"/>
            <w:vAlign w:val="center"/>
            <w:hideMark/>
          </w:tcPr>
          <w:p w14:paraId="7222CC29" w14:textId="77777777" w:rsidR="00FF6B5A" w:rsidRPr="00FF6B5A" w:rsidRDefault="000A2661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7248" w:type="dxa"/>
            <w:shd w:val="clear" w:color="auto" w:fill="auto"/>
            <w:hideMark/>
          </w:tcPr>
          <w:p w14:paraId="6085CF58" w14:textId="77777777" w:rsidR="00D65474" w:rsidRPr="00D65474" w:rsidRDefault="00FF6B5A" w:rsidP="00D6547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hyperlink r:id="rId21" w:tgtFrame="_blank" w:history="1">
              <w:r w:rsidR="00D65474" w:rsidRPr="00D654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https://app.crepc.sk/?fn=detailBiblioForm&amp;sid=843FECD318613D3B12EEA125F3</w:t>
              </w:r>
            </w:hyperlink>
          </w:p>
          <w:p w14:paraId="196CF87D" w14:textId="087048F3" w:rsidR="006D5674" w:rsidRPr="006D5674" w:rsidRDefault="006D5674" w:rsidP="006D56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36569A" w14:textId="77777777" w:rsidR="006D5674" w:rsidRPr="006D5674" w:rsidRDefault="006D5674" w:rsidP="006D5674">
            <w:pPr>
              <w:ind w:left="79"/>
              <w:rPr>
                <w:rFonts w:ascii="Times New Roman" w:hAnsi="Times New Roman"/>
                <w:sz w:val="24"/>
                <w:szCs w:val="24"/>
              </w:rPr>
            </w:pPr>
          </w:p>
          <w:p w14:paraId="42A7576B" w14:textId="77777777" w:rsidR="006D5674" w:rsidRDefault="006D5674" w:rsidP="006D5674">
            <w:pPr>
              <w:ind w:left="79"/>
              <w:rPr>
                <w:rFonts w:ascii="Times New Roman" w:hAnsi="Times New Roman"/>
                <w:sz w:val="24"/>
                <w:szCs w:val="24"/>
              </w:rPr>
            </w:pPr>
          </w:p>
          <w:p w14:paraId="3BFF3482" w14:textId="28D1855B" w:rsidR="00FF6B5A" w:rsidRPr="00FF6B5A" w:rsidRDefault="00FF6B5A" w:rsidP="006D56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86832" w:rsidRPr="00FF6B5A" w14:paraId="77FC843C" w14:textId="77777777" w:rsidTr="726B92B3">
        <w:trPr>
          <w:trHeight w:val="525"/>
        </w:trPr>
        <w:tc>
          <w:tcPr>
            <w:tcW w:w="160" w:type="dxa"/>
            <w:shd w:val="clear" w:color="auto" w:fill="auto"/>
            <w:vAlign w:val="bottom"/>
          </w:tcPr>
          <w:p w14:paraId="14C280BF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9E1F2"/>
            <w:vAlign w:val="center"/>
          </w:tcPr>
          <w:p w14:paraId="04D1D0EB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7248" w:type="dxa"/>
            <w:shd w:val="clear" w:color="auto" w:fill="auto"/>
          </w:tcPr>
          <w:p w14:paraId="00487D53" w14:textId="77777777" w:rsidR="00C86832" w:rsidRPr="00FF6B5A" w:rsidRDefault="00C86832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2C5D4378" w14:textId="77777777" w:rsidTr="726B92B3">
        <w:trPr>
          <w:trHeight w:val="1065"/>
        </w:trPr>
        <w:tc>
          <w:tcPr>
            <w:tcW w:w="160" w:type="dxa"/>
            <w:shd w:val="clear" w:color="auto" w:fill="auto"/>
            <w:vAlign w:val="bottom"/>
            <w:hideMark/>
          </w:tcPr>
          <w:p w14:paraId="2D69DCA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vMerge w:val="restart"/>
            <w:shd w:val="clear" w:color="auto" w:fill="DAE3F3"/>
            <w:textDirection w:val="btLr"/>
            <w:vAlign w:val="center"/>
            <w:hideMark/>
          </w:tcPr>
          <w:p w14:paraId="51428EEA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2355" w:type="dxa"/>
            <w:shd w:val="clear" w:color="auto" w:fill="D9E1F2"/>
            <w:vAlign w:val="center"/>
            <w:hideMark/>
          </w:tcPr>
          <w:p w14:paraId="01719335" w14:textId="77777777" w:rsidR="00FF6B5A" w:rsidRPr="00FF6B5A" w:rsidRDefault="000A2661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7248" w:type="dxa"/>
            <w:shd w:val="clear" w:color="auto" w:fill="auto"/>
            <w:hideMark/>
          </w:tcPr>
          <w:p w14:paraId="7D2916D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7F44C330" w14:textId="77777777" w:rsidTr="726B92B3">
        <w:trPr>
          <w:trHeight w:val="1515"/>
        </w:trPr>
        <w:tc>
          <w:tcPr>
            <w:tcW w:w="160" w:type="dxa"/>
            <w:shd w:val="clear" w:color="auto" w:fill="auto"/>
            <w:vAlign w:val="bottom"/>
            <w:hideMark/>
          </w:tcPr>
          <w:p w14:paraId="10F2150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14:paraId="321E985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355" w:type="dxa"/>
            <w:shd w:val="clear" w:color="auto" w:fill="DAE3F3"/>
            <w:vAlign w:val="center"/>
            <w:hideMark/>
          </w:tcPr>
          <w:p w14:paraId="5AC7552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7248" w:type="dxa"/>
            <w:shd w:val="clear" w:color="auto" w:fill="auto"/>
            <w:hideMark/>
          </w:tcPr>
          <w:p w14:paraId="2C1A1282" w14:textId="07B649C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 w:rsidR="00BC3494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FF6B5A" w:rsidRPr="00FF6B5A" w14:paraId="047C5B08" w14:textId="77777777" w:rsidTr="726B92B3">
        <w:trPr>
          <w:trHeight w:val="1290"/>
        </w:trPr>
        <w:tc>
          <w:tcPr>
            <w:tcW w:w="160" w:type="dxa"/>
            <w:shd w:val="clear" w:color="auto" w:fill="auto"/>
            <w:vAlign w:val="bottom"/>
            <w:hideMark/>
          </w:tcPr>
          <w:p w14:paraId="0C0110F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14:paraId="1FF45F0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355" w:type="dxa"/>
            <w:shd w:val="clear" w:color="auto" w:fill="D9E1F2"/>
            <w:vAlign w:val="center"/>
            <w:hideMark/>
          </w:tcPr>
          <w:p w14:paraId="7CEF133E" w14:textId="77777777" w:rsidR="00FF6B5A" w:rsidRPr="00FF6B5A" w:rsidRDefault="000A2661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Expl.OCA12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7248" w:type="dxa"/>
            <w:shd w:val="clear" w:color="auto" w:fill="auto"/>
            <w:hideMark/>
          </w:tcPr>
          <w:p w14:paraId="7AC22117" w14:textId="642AE48B" w:rsidR="00FF6B5A" w:rsidRPr="00087B3E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="00BC3494"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FF6B5A" w14:paraId="11DB7B66" w14:textId="77777777" w:rsidTr="726B92B3">
        <w:trPr>
          <w:trHeight w:val="1110"/>
        </w:trPr>
        <w:tc>
          <w:tcPr>
            <w:tcW w:w="160" w:type="dxa"/>
            <w:shd w:val="clear" w:color="auto" w:fill="auto"/>
            <w:vAlign w:val="bottom"/>
            <w:hideMark/>
          </w:tcPr>
          <w:p w14:paraId="31BCF62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14:paraId="393B40F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355" w:type="dxa"/>
            <w:shd w:val="clear" w:color="auto" w:fill="DAE3F3"/>
            <w:vAlign w:val="center"/>
            <w:hideMark/>
          </w:tcPr>
          <w:p w14:paraId="3138B3B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7248" w:type="dxa"/>
            <w:shd w:val="clear" w:color="auto" w:fill="auto"/>
            <w:hideMark/>
          </w:tcPr>
          <w:p w14:paraId="6753B88A" w14:textId="5BB6441F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65474"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https://www.uni-bremen.de/jura/tenlaw-tenancy-law-and-housing-policy-in-multi-level-europe/reports/reports</w:t>
            </w:r>
          </w:p>
        </w:tc>
      </w:tr>
      <w:tr w:rsidR="00FF6B5A" w:rsidRPr="00FF6B5A" w14:paraId="76661205" w14:textId="77777777" w:rsidTr="726B92B3">
        <w:trPr>
          <w:trHeight w:val="765"/>
        </w:trPr>
        <w:tc>
          <w:tcPr>
            <w:tcW w:w="160" w:type="dxa"/>
            <w:shd w:val="clear" w:color="auto" w:fill="auto"/>
            <w:vAlign w:val="bottom"/>
            <w:hideMark/>
          </w:tcPr>
          <w:p w14:paraId="2C19B5C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14:paraId="7160205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355" w:type="dxa"/>
            <w:shd w:val="clear" w:color="auto" w:fill="DAE3F3"/>
            <w:vAlign w:val="center"/>
            <w:hideMark/>
          </w:tcPr>
          <w:p w14:paraId="0FC64DA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7248" w:type="dxa"/>
            <w:shd w:val="clear" w:color="auto" w:fill="auto"/>
            <w:hideMark/>
          </w:tcPr>
          <w:p w14:paraId="459EC12F" w14:textId="6A10B6D0" w:rsidR="00FF6B5A" w:rsidRPr="00FF6B5A" w:rsidRDefault="28F0EA3F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Spoluautor/ </w:t>
            </w:r>
            <w:proofErr w:type="spellStart"/>
            <w:r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co-author</w:t>
            </w:r>
            <w:proofErr w:type="spellEnd"/>
          </w:p>
        </w:tc>
      </w:tr>
      <w:tr w:rsidR="00FF6B5A" w:rsidRPr="00FF6B5A" w14:paraId="43D2DB01" w14:textId="77777777" w:rsidTr="726B92B3">
        <w:trPr>
          <w:trHeight w:val="2310"/>
        </w:trPr>
        <w:tc>
          <w:tcPr>
            <w:tcW w:w="160" w:type="dxa"/>
            <w:shd w:val="clear" w:color="auto" w:fill="auto"/>
            <w:vAlign w:val="bottom"/>
            <w:hideMark/>
          </w:tcPr>
          <w:p w14:paraId="44CE43E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14:paraId="380EBE2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355" w:type="dxa"/>
            <w:shd w:val="clear" w:color="auto" w:fill="D9E1F2"/>
            <w:vAlign w:val="center"/>
            <w:hideMark/>
          </w:tcPr>
          <w:p w14:paraId="28A250A3" w14:textId="77777777" w:rsidR="00FF6B5A" w:rsidRPr="00FF6B5A" w:rsidRDefault="000A2661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7248" w:type="dxa"/>
            <w:shd w:val="clear" w:color="auto" w:fill="auto"/>
            <w:hideMark/>
          </w:tcPr>
          <w:p w14:paraId="75FC4EF5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  <w:p w14:paraId="6B6E13B9" w14:textId="77777777" w:rsidR="00422600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C7BC8CA" w14:textId="65333D1F" w:rsidR="00422600" w:rsidRPr="00FF6B5A" w:rsidRDefault="2380EB0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Národná správa bola pripravená v rámci medzinárodného výskumného projektu venovaného nájomnému bývaniu v rámci 7 RP EÚ </w:t>
            </w:r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/ </w:t>
            </w:r>
            <w:proofErr w:type="spellStart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The</w:t>
            </w:r>
            <w:proofErr w:type="spellEnd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national</w:t>
            </w:r>
            <w:proofErr w:type="spellEnd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report </w:t>
            </w:r>
            <w:proofErr w:type="spellStart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was</w:t>
            </w:r>
            <w:proofErr w:type="spellEnd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prepared</w:t>
            </w:r>
            <w:proofErr w:type="spellEnd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as part of </w:t>
            </w:r>
            <w:proofErr w:type="spellStart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an</w:t>
            </w:r>
            <w:proofErr w:type="spellEnd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international</w:t>
            </w:r>
            <w:proofErr w:type="spellEnd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research</w:t>
            </w:r>
            <w:proofErr w:type="spellEnd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project</w:t>
            </w:r>
            <w:proofErr w:type="spellEnd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on </w:t>
            </w:r>
            <w:proofErr w:type="spellStart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rental</w:t>
            </w:r>
            <w:proofErr w:type="spellEnd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housing</w:t>
            </w:r>
            <w:proofErr w:type="spellEnd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under</w:t>
            </w:r>
            <w:proofErr w:type="spellEnd"/>
            <w:r w:rsidR="0AF99275" w:rsidRPr="214678D2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EU FP7.</w:t>
            </w:r>
          </w:p>
        </w:tc>
      </w:tr>
      <w:tr w:rsidR="00FF6B5A" w:rsidRPr="00FF6B5A" w14:paraId="7CFF4012" w14:textId="77777777" w:rsidTr="726B92B3">
        <w:trPr>
          <w:trHeight w:val="915"/>
        </w:trPr>
        <w:tc>
          <w:tcPr>
            <w:tcW w:w="160" w:type="dxa"/>
            <w:shd w:val="clear" w:color="auto" w:fill="auto"/>
            <w:vAlign w:val="bottom"/>
            <w:hideMark/>
          </w:tcPr>
          <w:p w14:paraId="0B28853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9E1F2"/>
            <w:vAlign w:val="center"/>
            <w:hideMark/>
          </w:tcPr>
          <w:p w14:paraId="2C8C40C4" w14:textId="77777777" w:rsidR="00FF6B5A" w:rsidRPr="00FF6B5A" w:rsidRDefault="000A2661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7248" w:type="dxa"/>
            <w:shd w:val="clear" w:color="auto" w:fill="auto"/>
            <w:hideMark/>
          </w:tcPr>
          <w:p w14:paraId="1B9D5D3F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  <w:p w14:paraId="0E627CD2" w14:textId="1399D2CB" w:rsidR="00AF5DA9" w:rsidRPr="00AF5DA9" w:rsidRDefault="00D65474" w:rsidP="00AF5DA9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sk-SK"/>
              </w:rPr>
            </w:pP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Tenancy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has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been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deeply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rooted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national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housing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policy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policy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ability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state to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address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housing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needs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its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inhabitants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strongly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influences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overall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satisfaction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citizens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complicated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historical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social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political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developments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Slovakia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during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last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century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have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all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been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partial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reasons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which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rental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sector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Slovakia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deemed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underdeveloped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thorough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analysis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economic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urban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social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factors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housing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F5DA9">
              <w:rPr>
                <w:rFonts w:ascii="Calibri" w:eastAsia="Times New Roman" w:hAnsi="Calibri" w:cs="Times New Roman"/>
                <w:color w:val="000000"/>
                <w:lang w:eastAsia="sk-SK"/>
              </w:rPr>
              <w:t>put</w:t>
            </w:r>
            <w:proofErr w:type="spellEnd"/>
            <w:r w:rsidR="00AF5DA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F5DA9">
              <w:rPr>
                <w:rFonts w:ascii="Calibri" w:eastAsia="Times New Roman" w:hAnsi="Calibri" w:cs="Times New Roman"/>
                <w:color w:val="000000"/>
                <w:lang w:eastAsia="sk-SK"/>
              </w:rPr>
              <w:t>together</w:t>
            </w:r>
            <w:proofErr w:type="spellEnd"/>
            <w:r w:rsidR="00AF5DA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F5DA9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="00AF5DA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F5DA9">
              <w:rPr>
                <w:rFonts w:ascii="Calibri" w:eastAsia="Times New Roman" w:hAnsi="Calibri" w:cs="Times New Roman"/>
                <w:color w:val="000000"/>
                <w:lang w:eastAsia="sk-SK"/>
              </w:rPr>
              <w:t>overview</w:t>
            </w:r>
            <w:proofErr w:type="spellEnd"/>
            <w:r w:rsidR="00AF5DA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regulatory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types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of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rental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and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intermediate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tenure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in Slovakia</w:t>
            </w:r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.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This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scientific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outpu</w:t>
            </w:r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t</w:t>
            </w:r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provides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the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analyisi</w:t>
            </w:r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s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of Slovak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tenancy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regulation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and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its</w:t>
            </w:r>
            <w:proofErr w:type="spellEnd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 w:rsidRPr="00AF5DA9">
              <w:rPr>
                <w:rFonts w:ascii="Calibri" w:eastAsia="Times New Roman" w:hAnsi="Calibri"/>
                <w:color w:val="000000"/>
                <w:lang w:eastAsia="sk-SK"/>
              </w:rPr>
              <w:t>context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,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the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possible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imnfluence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of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the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 EU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law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and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sums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up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the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envisaged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trends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in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rental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housing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in </w:t>
            </w:r>
            <w:proofErr w:type="spellStart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>the</w:t>
            </w:r>
            <w:proofErr w:type="spellEnd"/>
            <w:r w:rsidR="00AF5DA9">
              <w:rPr>
                <w:rFonts w:ascii="Calibri" w:eastAsia="Times New Roman" w:hAnsi="Calibri"/>
                <w:color w:val="000000"/>
                <w:lang w:eastAsia="sk-SK"/>
              </w:rPr>
              <w:t xml:space="preserve"> country. </w:t>
            </w:r>
          </w:p>
          <w:p w14:paraId="2EF6D9EF" w14:textId="735B4A1F" w:rsidR="00AF5DA9" w:rsidRPr="00AF5DA9" w:rsidRDefault="00AF5DA9" w:rsidP="00AF5DA9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sk-SK"/>
              </w:rPr>
            </w:pPr>
          </w:p>
          <w:p w14:paraId="7F0EFCA5" w14:textId="4F1360CB" w:rsidR="00422600" w:rsidRPr="00FF6B5A" w:rsidRDefault="00422600" w:rsidP="00AF5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478BE4C7" w14:textId="77777777" w:rsidTr="726B92B3">
        <w:trPr>
          <w:trHeight w:val="810"/>
        </w:trPr>
        <w:tc>
          <w:tcPr>
            <w:tcW w:w="160" w:type="dxa"/>
            <w:shd w:val="clear" w:color="auto" w:fill="auto"/>
            <w:vAlign w:val="bottom"/>
            <w:hideMark/>
          </w:tcPr>
          <w:p w14:paraId="6749F5B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AE3F3"/>
            <w:vAlign w:val="center"/>
            <w:hideMark/>
          </w:tcPr>
          <w:p w14:paraId="1B652F9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7248" w:type="dxa"/>
            <w:shd w:val="clear" w:color="auto" w:fill="auto"/>
            <w:hideMark/>
          </w:tcPr>
          <w:p w14:paraId="13DFD58E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  <w:p w14:paraId="5AF55311" w14:textId="0A3167B7" w:rsidR="00D65474" w:rsidRDefault="00D65474" w:rsidP="00D65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(</w:t>
            </w:r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Web of </w:t>
            </w:r>
            <w:proofErr w:type="spellStart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Science</w:t>
            </w:r>
            <w:proofErr w:type="spellEnd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Core</w:t>
            </w:r>
            <w:proofErr w:type="spellEnd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Collection:</w:t>
            </w: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WOS:000449207400010) 133679: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British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assured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shorthold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tenancy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European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context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Extremity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tenancy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fringes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Europe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Jordan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Mark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[Autor]. – WOS CC </w:t>
            </w: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In:</w:t>
            </w: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Tenancy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housing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policy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Europe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: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Towards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regulatory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equilibrium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 [textový dokument (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/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Schmid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Christoph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U. [Zostavovateľ, editor]. – [recenzované]. – 1. vyd. –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Cheltenham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(Veľká Británia) : Edward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Elgar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Publishing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, 2018. – (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Elgar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Land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Housing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Policy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). – ISBN 978-1-78811-398-4, s. 239-259 [tlačená forma]</w:t>
            </w:r>
          </w:p>
          <w:p w14:paraId="246487D0" w14:textId="28265FD6" w:rsidR="00D65474" w:rsidRPr="00D65474" w:rsidRDefault="00D65474" w:rsidP="00D65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(</w:t>
            </w:r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Web of </w:t>
            </w:r>
            <w:proofErr w:type="spellStart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Science</w:t>
            </w:r>
            <w:proofErr w:type="spellEnd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Core</w:t>
            </w:r>
            <w:proofErr w:type="spellEnd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Collection:</w:t>
            </w: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WOS:000449207400009) 133672: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Balancing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rights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tenants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landlords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context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rent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regulation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Polish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experiences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light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ECtHR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case-law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Habdas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Magdalena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[Autor] ;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Panek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Grzegorz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[Autor]. – WOS CC </w:t>
            </w: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In:</w:t>
            </w: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Tenancy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housing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policy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Europe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: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Towards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regulatory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equilibrium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 [textový dokument (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/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Schmid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Christoph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U. [Zostavovateľ, editor]. – [recenzované]. – 1. vyd. –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Cheltenham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(Veľká Británia) : Edward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Elgar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Publishing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, 2018. – (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Elgar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Land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Housing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Policy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). – ISBN 978-1-78811-398-4, s. 199-238 [tlačená forma]</w:t>
            </w:r>
          </w:p>
          <w:p w14:paraId="4BA207AC" w14:textId="77777777" w:rsidR="00D65474" w:rsidRPr="00D65474" w:rsidRDefault="00D65474" w:rsidP="00D654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(</w:t>
            </w:r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Web of </w:t>
            </w:r>
            <w:proofErr w:type="spellStart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Science</w:t>
            </w:r>
            <w:proofErr w:type="spellEnd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Core</w:t>
            </w:r>
            <w:proofErr w:type="spellEnd"/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Collection:</w:t>
            </w: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WOS:000449207400004) 133648: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Central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East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European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housing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regimes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light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private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rental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sector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development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Hegedüs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József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[Autor] ;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Horvath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Vera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[Autor]. – WOS CC </w:t>
            </w: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D654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In:</w:t>
            </w:r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Tenancy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housing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policy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Europe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: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Towards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regulatory</w:t>
            </w:r>
            <w:proofErr w:type="spellEnd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equilibrium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 [textový dokument (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/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Schmid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Christoph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U. [Zostavovateľ, editor]. – [recenzované]. – 1. vyd. –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Cheltenham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(Veľká Británia) : Edward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Elgar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Publishing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, 2018. – (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Elgar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Land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Housing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Policy</w:t>
            </w:r>
            <w:proofErr w:type="spellEnd"/>
            <w:r w:rsidRPr="00D65474">
              <w:rPr>
                <w:rFonts w:ascii="Calibri" w:eastAsia="Times New Roman" w:hAnsi="Calibri" w:cs="Times New Roman"/>
                <w:color w:val="000000"/>
                <w:lang w:eastAsia="sk-SK"/>
              </w:rPr>
              <w:t>). – ISBN 978-1-78811-398-4, s. 39-66 [tlačená forma]</w:t>
            </w:r>
          </w:p>
          <w:p w14:paraId="0D105B51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47FE52C1" w14:textId="77777777" w:rsidTr="726B92B3">
        <w:trPr>
          <w:trHeight w:val="1170"/>
        </w:trPr>
        <w:tc>
          <w:tcPr>
            <w:tcW w:w="160" w:type="dxa"/>
            <w:shd w:val="clear" w:color="auto" w:fill="auto"/>
            <w:vAlign w:val="bottom"/>
            <w:hideMark/>
          </w:tcPr>
          <w:p w14:paraId="5CD4828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AE3F3"/>
            <w:vAlign w:val="center"/>
            <w:hideMark/>
          </w:tcPr>
          <w:p w14:paraId="5FA065E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lastRenderedPageBreak/>
              <w:t xml:space="preserve">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7248" w:type="dxa"/>
            <w:shd w:val="clear" w:color="auto" w:fill="auto"/>
            <w:hideMark/>
          </w:tcPr>
          <w:p w14:paraId="722266DA" w14:textId="79BFC3AE" w:rsidR="00FF6B5A" w:rsidRDefault="00AF5DA9" w:rsidP="00B372DA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Vedecký výstup bol spracovaný v rámci  7</w:t>
            </w:r>
            <w:r w:rsidR="00331157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rámcového projektu EÚ </w:t>
            </w:r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TENLAW: </w:t>
            </w:r>
            <w:proofErr w:type="spellStart"/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Tenancy</w:t>
            </w:r>
            <w:proofErr w:type="spellEnd"/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housing</w:t>
            </w:r>
            <w:proofErr w:type="spellEnd"/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policy</w:t>
            </w:r>
            <w:proofErr w:type="spellEnd"/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multi</w:t>
            </w:r>
            <w:proofErr w:type="spellEnd"/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-level </w:t>
            </w:r>
            <w:proofErr w:type="spellStart"/>
            <w:r w:rsidR="00B372DA"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Europe</w:t>
            </w:r>
            <w:proofErr w:type="spellEnd"/>
            <w:r w:rsid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 zodpovedá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európskymštandardom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vedeckého výskumu. Z hľadiska jeho začlenenia a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začkenenia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autorov do </w:t>
            </w:r>
            <w:r w:rsid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tohto výskumu je prostriedkom transferu poznatkov. Vý</w:t>
            </w:r>
            <w:r w:rsidR="003311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stup </w:t>
            </w:r>
            <w:r w:rsid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boli </w:t>
            </w:r>
            <w:r w:rsidR="003311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súčasťou  </w:t>
            </w:r>
            <w:r w:rsid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medzináro</w:t>
            </w:r>
            <w:r w:rsidR="00331157">
              <w:rPr>
                <w:rFonts w:ascii="Calibri" w:eastAsia="Times New Roman" w:hAnsi="Calibri" w:cs="Times New Roman"/>
                <w:color w:val="000000"/>
                <w:lang w:eastAsia="sk-SK"/>
              </w:rPr>
              <w:t>d</w:t>
            </w:r>
            <w:r w:rsid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ných komparatívnych výskumov, ktoré smerujú k zlepšeniu regulácie nájomného bývania v Európe a môžu pozitívne pôsobiť tak na domácu právnu úpravu ako aj smerom navonok.</w:t>
            </w:r>
          </w:p>
          <w:p w14:paraId="27717E12" w14:textId="040B06A5" w:rsidR="00B372DA" w:rsidRPr="00FF6B5A" w:rsidRDefault="00B372DA" w:rsidP="00B372DA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scientific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has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been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developed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within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EU FP7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project</w:t>
            </w:r>
            <w:proofErr w:type="spellEnd"/>
            <w:r w:rsidRPr="00B372DA">
              <w:rPr>
                <w:rFonts w:ascii="Roboto" w:eastAsia="Times New Roman" w:hAnsi="Roboto" w:cs="Times New Roman"/>
                <w:color w:val="111111"/>
                <w:kern w:val="36"/>
                <w:sz w:val="48"/>
                <w:szCs w:val="48"/>
                <w:lang w:eastAsia="sk-SK"/>
              </w:rPr>
              <w:t xml:space="preserve"> </w:t>
            </w:r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TENLAW: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Tenancy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housing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policy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multi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-level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Europe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and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complies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European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standards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scientific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In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terms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its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inclusion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inclusion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authors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means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knowledge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transfer.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results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have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been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incorporated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into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international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comparative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aimed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at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improving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regulation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rental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housing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Europe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can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have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positive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both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domestically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externally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FF6B5A" w:rsidRPr="00FF6B5A" w14:paraId="6FDEE2BC" w14:textId="77777777" w:rsidTr="726B92B3">
        <w:trPr>
          <w:trHeight w:val="1290"/>
        </w:trPr>
        <w:tc>
          <w:tcPr>
            <w:tcW w:w="160" w:type="dxa"/>
            <w:shd w:val="clear" w:color="auto" w:fill="auto"/>
            <w:vAlign w:val="bottom"/>
            <w:hideMark/>
          </w:tcPr>
          <w:p w14:paraId="02B9844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671" w:type="dxa"/>
            <w:gridSpan w:val="2"/>
            <w:shd w:val="clear" w:color="auto" w:fill="DAE3F3"/>
            <w:vAlign w:val="center"/>
            <w:hideMark/>
          </w:tcPr>
          <w:p w14:paraId="2213E97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7248" w:type="dxa"/>
            <w:shd w:val="clear" w:color="auto" w:fill="auto"/>
            <w:hideMark/>
          </w:tcPr>
          <w:p w14:paraId="0E19CF08" w14:textId="6F63AAAF" w:rsidR="00FF6B5A" w:rsidRDefault="00B372DA" w:rsidP="003311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 mnohé roky je  táto národná správa a celý jej kontext vrátane začlenenia jej výsledkov  do európskych komparatívnych správ zdrojom pre písanie záverečných prác a cenných zdrojom poznatkov analýz na úrovni doktorandského štúdia, ktoré sa u viacerých študentov orientovalo na nájomné a iné užívacie vzťahy. </w:t>
            </w:r>
          </w:p>
          <w:p w14:paraId="70F13082" w14:textId="421F2EFA" w:rsidR="00B372DA" w:rsidRPr="00FF6B5A" w:rsidRDefault="00B372DA" w:rsidP="003311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many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years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now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national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report and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its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entire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context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including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incorporation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its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results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into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European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comparative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reports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has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been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source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writing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theses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a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valuable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source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knowledge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analyses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at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level of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doctoral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studies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which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many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students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have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been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oriented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towards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tenancy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tenure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relations</w:t>
            </w:r>
            <w:proofErr w:type="spellEnd"/>
            <w:r w:rsidRPr="00B372D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FF6B5A" w:rsidRPr="00FF6B5A" w14:paraId="51FB8844" w14:textId="77777777" w:rsidTr="726B92B3">
        <w:trPr>
          <w:trHeight w:val="204"/>
        </w:trPr>
        <w:tc>
          <w:tcPr>
            <w:tcW w:w="160" w:type="dxa"/>
            <w:shd w:val="clear" w:color="auto" w:fill="auto"/>
            <w:vAlign w:val="bottom"/>
            <w:hideMark/>
          </w:tcPr>
          <w:p w14:paraId="54AD3BB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14D880D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14:paraId="50D4B6FD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248" w:type="dxa"/>
            <w:shd w:val="clear" w:color="auto" w:fill="auto"/>
            <w:hideMark/>
          </w:tcPr>
          <w:p w14:paraId="0B7CE8CC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39A76E59" w14:textId="77777777" w:rsidR="00502F15" w:rsidRDefault="00502F15"/>
    <w:p w14:paraId="67411768" w14:textId="77777777" w:rsidR="00C86832" w:rsidRDefault="00C86832"/>
    <w:p w14:paraId="472BF122" w14:textId="77777777" w:rsidR="00C86832" w:rsidRPr="00FF6B5A" w:rsidRDefault="00C86832">
      <w:r w:rsidRPr="00C86832">
        <w:t>https://app.crepc.sk/?fn=detailBiblioFormChildG1J2D&amp;sid=D0F7DA0282A4E6146F8ADDC9&amp;seo=CREP%C4%8C-detail-kniha</w:t>
      </w:r>
    </w:p>
    <w:sectPr w:rsidR="00C86832" w:rsidRPr="00FF6B5A" w:rsidSect="008E210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BE816" w14:textId="77777777" w:rsidR="00C963A8" w:rsidRDefault="00C963A8" w:rsidP="00816E73">
      <w:pPr>
        <w:spacing w:after="0" w:line="240" w:lineRule="auto"/>
      </w:pPr>
      <w:r>
        <w:separator/>
      </w:r>
    </w:p>
  </w:endnote>
  <w:endnote w:type="continuationSeparator" w:id="0">
    <w:p w14:paraId="464E2D97" w14:textId="77777777" w:rsidR="00C963A8" w:rsidRDefault="00C963A8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5B01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9014" w14:textId="77777777" w:rsidR="00A23768" w:rsidRDefault="00A23768">
    <w:pPr>
      <w:pStyle w:val="Pta"/>
    </w:pPr>
    <w:r w:rsidRPr="00A23768">
      <w:t>T_Z_VTCAj_1/ 2020</w:t>
    </w:r>
  </w:p>
  <w:p w14:paraId="0EDA3925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C3DB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8D57" w14:textId="77777777" w:rsidR="00C963A8" w:rsidRDefault="00C963A8" w:rsidP="00816E73">
      <w:pPr>
        <w:spacing w:after="0" w:line="240" w:lineRule="auto"/>
      </w:pPr>
      <w:r>
        <w:separator/>
      </w:r>
    </w:p>
  </w:footnote>
  <w:footnote w:type="continuationSeparator" w:id="0">
    <w:p w14:paraId="376BF90E" w14:textId="77777777" w:rsidR="00C963A8" w:rsidRDefault="00C963A8" w:rsidP="00816E73">
      <w:pPr>
        <w:spacing w:after="0" w:line="240" w:lineRule="auto"/>
      </w:pPr>
      <w:r>
        <w:continuationSeparator/>
      </w:r>
    </w:p>
  </w:footnote>
  <w:footnote w:id="1">
    <w:p w14:paraId="23A299BA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2FF03C34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2E42633E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43E61EE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6E3BAA60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020422C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73B625F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2DDA9AF8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3677F5C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F8D3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A435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78FE7975" wp14:editId="55867E28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58634A56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46AC" w14:textId="77777777" w:rsidR="00B15040" w:rsidRDefault="00B150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2CC"/>
    <w:multiLevelType w:val="multilevel"/>
    <w:tmpl w:val="AAB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E31ED"/>
    <w:multiLevelType w:val="multilevel"/>
    <w:tmpl w:val="33D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994557">
    <w:abstractNumId w:val="1"/>
  </w:num>
  <w:num w:numId="2" w16cid:durableId="94523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BD"/>
    <w:rsid w:val="0007243E"/>
    <w:rsid w:val="0008088C"/>
    <w:rsid w:val="00087B3E"/>
    <w:rsid w:val="000A2661"/>
    <w:rsid w:val="00102D82"/>
    <w:rsid w:val="00112F47"/>
    <w:rsid w:val="001A42DD"/>
    <w:rsid w:val="001B4607"/>
    <w:rsid w:val="001F26CD"/>
    <w:rsid w:val="001F2D04"/>
    <w:rsid w:val="00222794"/>
    <w:rsid w:val="002846C8"/>
    <w:rsid w:val="003010D5"/>
    <w:rsid w:val="00331157"/>
    <w:rsid w:val="00422600"/>
    <w:rsid w:val="004D3FFD"/>
    <w:rsid w:val="004D5CBD"/>
    <w:rsid w:val="004E4845"/>
    <w:rsid w:val="00502F15"/>
    <w:rsid w:val="00532FE9"/>
    <w:rsid w:val="00543C52"/>
    <w:rsid w:val="00572798"/>
    <w:rsid w:val="0067481C"/>
    <w:rsid w:val="00675F63"/>
    <w:rsid w:val="006849EB"/>
    <w:rsid w:val="006D5674"/>
    <w:rsid w:val="006F6B13"/>
    <w:rsid w:val="00710533"/>
    <w:rsid w:val="007C50DA"/>
    <w:rsid w:val="007E5400"/>
    <w:rsid w:val="00816E73"/>
    <w:rsid w:val="00852CC7"/>
    <w:rsid w:val="008B78D7"/>
    <w:rsid w:val="008E2108"/>
    <w:rsid w:val="008E7E49"/>
    <w:rsid w:val="009547F9"/>
    <w:rsid w:val="00975300"/>
    <w:rsid w:val="009770A6"/>
    <w:rsid w:val="00980601"/>
    <w:rsid w:val="00A15020"/>
    <w:rsid w:val="00A23768"/>
    <w:rsid w:val="00A83E29"/>
    <w:rsid w:val="00AB7E55"/>
    <w:rsid w:val="00AF5DA9"/>
    <w:rsid w:val="00B15040"/>
    <w:rsid w:val="00B372DA"/>
    <w:rsid w:val="00BA1526"/>
    <w:rsid w:val="00BC1203"/>
    <w:rsid w:val="00BC3494"/>
    <w:rsid w:val="00BC77B7"/>
    <w:rsid w:val="00C40D4D"/>
    <w:rsid w:val="00C86832"/>
    <w:rsid w:val="00C963A8"/>
    <w:rsid w:val="00CC62C8"/>
    <w:rsid w:val="00D64B7C"/>
    <w:rsid w:val="00D65474"/>
    <w:rsid w:val="00D733AB"/>
    <w:rsid w:val="00DD23DC"/>
    <w:rsid w:val="00DF77E6"/>
    <w:rsid w:val="00EC403D"/>
    <w:rsid w:val="00FE27EC"/>
    <w:rsid w:val="00FF6B5A"/>
    <w:rsid w:val="0AF99275"/>
    <w:rsid w:val="0BCE30AA"/>
    <w:rsid w:val="19F53E5A"/>
    <w:rsid w:val="214678D2"/>
    <w:rsid w:val="2380EB02"/>
    <w:rsid w:val="28F0EA3F"/>
    <w:rsid w:val="3FE46B6A"/>
    <w:rsid w:val="49647818"/>
    <w:rsid w:val="4E37E93B"/>
    <w:rsid w:val="6D030CF2"/>
    <w:rsid w:val="6ED9BBAD"/>
    <w:rsid w:val="726B9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C20DE"/>
  <w15:docId w15:val="{862BBE52-D221-6C49-8F5C-791438B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7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customStyle="1" w:styleId="normaltextrun">
    <w:name w:val="normaltextrun"/>
    <w:basedOn w:val="Predvolenpsmoodseku"/>
    <w:rsid w:val="00543C52"/>
  </w:style>
  <w:style w:type="character" w:customStyle="1" w:styleId="eop">
    <w:name w:val="eop"/>
    <w:basedOn w:val="Predvolenpsmoodseku"/>
    <w:rsid w:val="00543C52"/>
  </w:style>
  <w:style w:type="character" w:customStyle="1" w:styleId="apple-converted-space">
    <w:name w:val="apple-converted-space"/>
    <w:basedOn w:val="Predvolenpsmoodseku"/>
    <w:rsid w:val="008E7E49"/>
  </w:style>
  <w:style w:type="character" w:customStyle="1" w:styleId="highlight">
    <w:name w:val="highlight"/>
    <w:basedOn w:val="Predvolenpsmoodseku"/>
    <w:rsid w:val="008E7E49"/>
  </w:style>
  <w:style w:type="character" w:customStyle="1" w:styleId="spellingerror">
    <w:name w:val="spellingerror"/>
    <w:basedOn w:val="Predvolenpsmoodseku"/>
    <w:rsid w:val="008E7E49"/>
  </w:style>
  <w:style w:type="character" w:customStyle="1" w:styleId="bcx4">
    <w:name w:val="bcx4"/>
    <w:basedOn w:val="Predvolenpsmoodseku"/>
    <w:rsid w:val="008E7E49"/>
  </w:style>
  <w:style w:type="character" w:customStyle="1" w:styleId="findhit">
    <w:name w:val="findhit"/>
    <w:basedOn w:val="Predvolenpsmoodseku"/>
    <w:rsid w:val="008E7E49"/>
  </w:style>
  <w:style w:type="character" w:styleId="Nevyrieenzmienka">
    <w:name w:val="Unresolved Mention"/>
    <w:basedOn w:val="Predvolenpsmoodseku"/>
    <w:uiPriority w:val="99"/>
    <w:semiHidden/>
    <w:unhideWhenUsed/>
    <w:rsid w:val="00A15020"/>
    <w:rPr>
      <w:color w:val="605E5C"/>
      <w:shd w:val="clear" w:color="auto" w:fill="E1DFDD"/>
    </w:rPr>
  </w:style>
  <w:style w:type="paragraph" w:customStyle="1" w:styleId="active">
    <w:name w:val="active"/>
    <w:basedOn w:val="Normlny"/>
    <w:rsid w:val="006D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5674"/>
    <w:rPr>
      <w:color w:val="954F72" w:themeColor="followedHyperlink"/>
      <w:u w:val="single"/>
    </w:rPr>
  </w:style>
  <w:style w:type="character" w:customStyle="1" w:styleId="text-success">
    <w:name w:val="text-success"/>
    <w:basedOn w:val="Predvolenpsmoodseku"/>
    <w:rsid w:val="00D65474"/>
  </w:style>
  <w:style w:type="paragraph" w:styleId="Normlnywebov">
    <w:name w:val="Normal (Web)"/>
    <w:basedOn w:val="Normlny"/>
    <w:uiPriority w:val="99"/>
    <w:semiHidden/>
    <w:unhideWhenUsed/>
    <w:rsid w:val="00AF5DA9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B37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ortalvs.sk/regzam/detail/8754?fn=detailBiblioForm&amp;sid=843FECD318613D3B12EEA125F3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?do=filterForm-submit&amp;name=Monika&amp;surname=Jur&#269;ov&#225;&amp;university=713000000&amp;faculty=713050000&amp;sort=surname&amp;employment_state=yes&amp;filter=Vyh&#318;ada&#357;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yperlink" Target="https://app.crepc.sk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DBDD0-D116-429A-8688-3BA3E5278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61C438-1DA6-47AA-881C-4A574AB39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4F65E-0185-4A5A-87F8-DE12E91BA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2011</Words>
  <Characters>11463</Characters>
  <Application>Microsoft Office Word</Application>
  <DocSecurity>0</DocSecurity>
  <Lines>95</Lines>
  <Paragraphs>26</Paragraphs>
  <ScaleCrop>false</ScaleCrop>
  <Company>Trnavska univerzita</Company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7</cp:revision>
  <dcterms:created xsi:type="dcterms:W3CDTF">2022-01-11T12:18:00Z</dcterms:created>
  <dcterms:modified xsi:type="dcterms:W3CDTF">2025-11-04T12:44:00Z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