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9" w:type="dxa"/>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60"/>
        <w:gridCol w:w="316"/>
        <w:gridCol w:w="2190"/>
        <w:gridCol w:w="7413"/>
      </w:tblGrid>
      <w:tr w:rsidR="00FF6B5A" w:rsidRPr="00FF6B5A" w14:paraId="6310AA65" w14:textId="77777777" w:rsidTr="799E527B">
        <w:trPr>
          <w:trHeight w:val="204"/>
        </w:trPr>
        <w:tc>
          <w:tcPr>
            <w:tcW w:w="160" w:type="dxa"/>
            <w:shd w:val="clear" w:color="auto" w:fill="auto"/>
            <w:vAlign w:val="bottom"/>
            <w:hideMark/>
          </w:tcPr>
          <w:p w14:paraId="3D42234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316" w:type="dxa"/>
            <w:shd w:val="clear" w:color="auto" w:fill="auto"/>
            <w:vAlign w:val="center"/>
            <w:hideMark/>
          </w:tcPr>
          <w:p w14:paraId="2D50492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190" w:type="dxa"/>
            <w:shd w:val="clear" w:color="auto" w:fill="auto"/>
            <w:vAlign w:val="center"/>
            <w:hideMark/>
          </w:tcPr>
          <w:p w14:paraId="7C13991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413" w:type="dxa"/>
            <w:shd w:val="clear" w:color="auto" w:fill="auto"/>
            <w:hideMark/>
          </w:tcPr>
          <w:p w14:paraId="16E4D01D"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317C696" w14:textId="77777777" w:rsidTr="799E527B">
        <w:trPr>
          <w:trHeight w:val="450"/>
        </w:trPr>
        <w:tc>
          <w:tcPr>
            <w:tcW w:w="160" w:type="dxa"/>
            <w:shd w:val="clear" w:color="auto" w:fill="auto"/>
            <w:vAlign w:val="center"/>
            <w:hideMark/>
          </w:tcPr>
          <w:p w14:paraId="1165D7E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9919" w:type="dxa"/>
            <w:gridSpan w:val="3"/>
            <w:vMerge w:val="restart"/>
            <w:shd w:val="clear" w:color="auto" w:fill="2F5597"/>
            <w:vAlign w:val="center"/>
            <w:hideMark/>
          </w:tcPr>
          <w:p w14:paraId="0B19AD3D"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1856B225" w14:textId="77777777" w:rsidTr="799E527B">
        <w:trPr>
          <w:trHeight w:val="450"/>
        </w:trPr>
        <w:tc>
          <w:tcPr>
            <w:tcW w:w="160" w:type="dxa"/>
            <w:shd w:val="clear" w:color="auto" w:fill="auto"/>
            <w:vAlign w:val="center"/>
            <w:hideMark/>
          </w:tcPr>
          <w:p w14:paraId="722A68FE"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9919" w:type="dxa"/>
            <w:gridSpan w:val="3"/>
            <w:vMerge/>
            <w:vAlign w:val="center"/>
            <w:hideMark/>
          </w:tcPr>
          <w:p w14:paraId="600AC5E4"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187368C3" w14:textId="77777777" w:rsidTr="799E527B">
        <w:trPr>
          <w:trHeight w:val="60"/>
        </w:trPr>
        <w:tc>
          <w:tcPr>
            <w:tcW w:w="160" w:type="dxa"/>
            <w:shd w:val="clear" w:color="auto" w:fill="auto"/>
            <w:vAlign w:val="bottom"/>
            <w:hideMark/>
          </w:tcPr>
          <w:p w14:paraId="50FCE1A6"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316" w:type="dxa"/>
            <w:shd w:val="clear" w:color="auto" w:fill="auto"/>
            <w:vAlign w:val="center"/>
            <w:hideMark/>
          </w:tcPr>
          <w:p w14:paraId="10697D9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190" w:type="dxa"/>
            <w:shd w:val="clear" w:color="auto" w:fill="auto"/>
            <w:vAlign w:val="center"/>
            <w:hideMark/>
          </w:tcPr>
          <w:p w14:paraId="3A03CCF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413" w:type="dxa"/>
            <w:shd w:val="clear" w:color="auto" w:fill="auto"/>
            <w:hideMark/>
          </w:tcPr>
          <w:p w14:paraId="3EDBFC86"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21F4825" w14:textId="77777777" w:rsidTr="799E527B">
        <w:trPr>
          <w:trHeight w:val="375"/>
        </w:trPr>
        <w:tc>
          <w:tcPr>
            <w:tcW w:w="160" w:type="dxa"/>
            <w:shd w:val="clear" w:color="auto" w:fill="auto"/>
            <w:vAlign w:val="bottom"/>
            <w:hideMark/>
          </w:tcPr>
          <w:p w14:paraId="1E86D0A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9919" w:type="dxa"/>
            <w:gridSpan w:val="3"/>
            <w:vMerge w:val="restart"/>
            <w:shd w:val="clear" w:color="auto" w:fill="auto"/>
            <w:vAlign w:val="bottom"/>
            <w:hideMark/>
          </w:tcPr>
          <w:p w14:paraId="34FEE837"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13892AB5" w14:textId="77777777" w:rsidTr="799E527B">
        <w:trPr>
          <w:trHeight w:val="375"/>
        </w:trPr>
        <w:tc>
          <w:tcPr>
            <w:tcW w:w="160" w:type="dxa"/>
            <w:shd w:val="clear" w:color="auto" w:fill="auto"/>
            <w:vAlign w:val="bottom"/>
            <w:hideMark/>
          </w:tcPr>
          <w:p w14:paraId="751F75D3"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9919" w:type="dxa"/>
            <w:gridSpan w:val="3"/>
            <w:vMerge/>
            <w:vAlign w:val="center"/>
            <w:hideMark/>
          </w:tcPr>
          <w:p w14:paraId="52F81D4E"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605BD249" w14:textId="77777777" w:rsidTr="799E527B">
        <w:trPr>
          <w:trHeight w:val="90"/>
        </w:trPr>
        <w:tc>
          <w:tcPr>
            <w:tcW w:w="160" w:type="dxa"/>
            <w:shd w:val="clear" w:color="auto" w:fill="auto"/>
            <w:vAlign w:val="bottom"/>
            <w:hideMark/>
          </w:tcPr>
          <w:p w14:paraId="10380E6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316" w:type="dxa"/>
            <w:shd w:val="clear" w:color="auto" w:fill="auto"/>
            <w:vAlign w:val="center"/>
            <w:hideMark/>
          </w:tcPr>
          <w:p w14:paraId="518DB5E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190" w:type="dxa"/>
            <w:shd w:val="clear" w:color="auto" w:fill="auto"/>
            <w:vAlign w:val="center"/>
            <w:hideMark/>
          </w:tcPr>
          <w:p w14:paraId="4487232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413" w:type="dxa"/>
            <w:shd w:val="clear" w:color="auto" w:fill="auto"/>
            <w:hideMark/>
          </w:tcPr>
          <w:p w14:paraId="0F5C3B4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FC30B39" w14:textId="77777777" w:rsidTr="799E527B">
        <w:trPr>
          <w:trHeight w:val="345"/>
        </w:trPr>
        <w:tc>
          <w:tcPr>
            <w:tcW w:w="160" w:type="dxa"/>
            <w:shd w:val="clear" w:color="auto" w:fill="auto"/>
            <w:vAlign w:val="bottom"/>
            <w:hideMark/>
          </w:tcPr>
          <w:p w14:paraId="3D9F282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316" w:type="dxa"/>
            <w:shd w:val="clear" w:color="auto" w:fill="auto"/>
            <w:vAlign w:val="center"/>
            <w:hideMark/>
          </w:tcPr>
          <w:p w14:paraId="1DD3BCF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190" w:type="dxa"/>
            <w:shd w:val="clear" w:color="auto" w:fill="D9E1F2"/>
            <w:vAlign w:val="center"/>
            <w:hideMark/>
          </w:tcPr>
          <w:p w14:paraId="5F04A83E" w14:textId="77777777" w:rsidR="00FF6B5A" w:rsidRPr="00FF6B5A" w:rsidRDefault="00AF4E67"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7413" w:type="dxa"/>
            <w:shd w:val="clear" w:color="auto" w:fill="auto"/>
            <w:hideMark/>
          </w:tcPr>
          <w:p w14:paraId="50B736E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480C31B" w14:textId="77777777" w:rsidTr="799E527B">
        <w:trPr>
          <w:trHeight w:val="345"/>
        </w:trPr>
        <w:tc>
          <w:tcPr>
            <w:tcW w:w="160" w:type="dxa"/>
            <w:shd w:val="clear" w:color="auto" w:fill="auto"/>
            <w:vAlign w:val="bottom"/>
            <w:hideMark/>
          </w:tcPr>
          <w:p w14:paraId="18925D7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shd w:val="clear" w:color="auto" w:fill="auto"/>
            <w:vAlign w:val="center"/>
            <w:hideMark/>
          </w:tcPr>
          <w:p w14:paraId="4218EE02"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2190" w:type="dxa"/>
            <w:shd w:val="clear" w:color="auto" w:fill="D9E1F2"/>
            <w:vAlign w:val="center"/>
            <w:hideMark/>
          </w:tcPr>
          <w:p w14:paraId="516F90A7"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7413" w:type="dxa"/>
            <w:shd w:val="clear" w:color="auto" w:fill="auto"/>
            <w:hideMark/>
          </w:tcPr>
          <w:p w14:paraId="400D2CE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C2C5DAD" w14:textId="77777777" w:rsidTr="799E527B">
        <w:trPr>
          <w:trHeight w:val="405"/>
        </w:trPr>
        <w:tc>
          <w:tcPr>
            <w:tcW w:w="160" w:type="dxa"/>
            <w:shd w:val="clear" w:color="auto" w:fill="auto"/>
            <w:vAlign w:val="bottom"/>
            <w:hideMark/>
          </w:tcPr>
          <w:p w14:paraId="6AC9C23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shd w:val="clear" w:color="auto" w:fill="auto"/>
            <w:vAlign w:val="center"/>
            <w:hideMark/>
          </w:tcPr>
          <w:p w14:paraId="592BB46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190" w:type="dxa"/>
            <w:shd w:val="clear" w:color="auto" w:fill="auto"/>
            <w:vAlign w:val="center"/>
            <w:hideMark/>
          </w:tcPr>
          <w:p w14:paraId="7CB4D51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7413" w:type="dxa"/>
            <w:shd w:val="clear" w:color="auto" w:fill="auto"/>
            <w:hideMark/>
          </w:tcPr>
          <w:p w14:paraId="4060C9D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15E8949A" w14:textId="77777777" w:rsidTr="799E527B">
        <w:trPr>
          <w:trHeight w:val="510"/>
        </w:trPr>
        <w:tc>
          <w:tcPr>
            <w:tcW w:w="160" w:type="dxa"/>
            <w:shd w:val="clear" w:color="auto" w:fill="auto"/>
            <w:vAlign w:val="bottom"/>
            <w:hideMark/>
          </w:tcPr>
          <w:p w14:paraId="2D12998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506" w:type="dxa"/>
            <w:gridSpan w:val="2"/>
            <w:shd w:val="clear" w:color="auto" w:fill="D9E1F2"/>
            <w:vAlign w:val="center"/>
            <w:hideMark/>
          </w:tcPr>
          <w:p w14:paraId="3D97B3AB" w14:textId="77777777" w:rsidR="00FF6B5A" w:rsidRPr="00FF6B5A" w:rsidRDefault="00AF4E67"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7413" w:type="dxa"/>
            <w:shd w:val="clear" w:color="auto" w:fill="auto"/>
            <w:hideMark/>
          </w:tcPr>
          <w:p w14:paraId="7FD47DBC" w14:textId="0731AA1B"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43C52">
              <w:rPr>
                <w:rFonts w:ascii="Calibri" w:eastAsia="Times New Roman" w:hAnsi="Calibri" w:cs="Times New Roman"/>
                <w:color w:val="000000"/>
                <w:lang w:eastAsia="sk-SK"/>
              </w:rPr>
              <w:t>Jurčová</w:t>
            </w:r>
          </w:p>
        </w:tc>
      </w:tr>
      <w:tr w:rsidR="00FF6B5A" w:rsidRPr="00FF6B5A" w14:paraId="3B1F13F9" w14:textId="77777777" w:rsidTr="799E527B">
        <w:trPr>
          <w:trHeight w:val="315"/>
        </w:trPr>
        <w:tc>
          <w:tcPr>
            <w:tcW w:w="160" w:type="dxa"/>
            <w:shd w:val="clear" w:color="auto" w:fill="auto"/>
            <w:vAlign w:val="bottom"/>
            <w:hideMark/>
          </w:tcPr>
          <w:p w14:paraId="1699A2C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06" w:type="dxa"/>
            <w:gridSpan w:val="2"/>
            <w:shd w:val="clear" w:color="auto" w:fill="D9E1F2"/>
            <w:vAlign w:val="center"/>
            <w:hideMark/>
          </w:tcPr>
          <w:p w14:paraId="1F07578F" w14:textId="77777777" w:rsidR="00FF6B5A" w:rsidRPr="00FF6B5A" w:rsidRDefault="00AF4E67"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7413" w:type="dxa"/>
            <w:shd w:val="clear" w:color="auto" w:fill="auto"/>
            <w:hideMark/>
          </w:tcPr>
          <w:p w14:paraId="77B6CE8E" w14:textId="0C8BC93C"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43C52">
              <w:rPr>
                <w:rFonts w:ascii="Calibri" w:eastAsia="Times New Roman" w:hAnsi="Calibri" w:cs="Times New Roman"/>
                <w:color w:val="000000"/>
                <w:lang w:eastAsia="sk-SK"/>
              </w:rPr>
              <w:t>Monika</w:t>
            </w:r>
          </w:p>
        </w:tc>
      </w:tr>
      <w:tr w:rsidR="00FF6B5A" w:rsidRPr="00FF6B5A" w14:paraId="13A9B15A" w14:textId="77777777" w:rsidTr="799E527B">
        <w:trPr>
          <w:trHeight w:val="510"/>
        </w:trPr>
        <w:tc>
          <w:tcPr>
            <w:tcW w:w="160" w:type="dxa"/>
            <w:shd w:val="clear" w:color="auto" w:fill="auto"/>
            <w:vAlign w:val="bottom"/>
            <w:hideMark/>
          </w:tcPr>
          <w:p w14:paraId="324E10F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06" w:type="dxa"/>
            <w:gridSpan w:val="2"/>
            <w:shd w:val="clear" w:color="auto" w:fill="D9E1F2"/>
            <w:vAlign w:val="center"/>
            <w:hideMark/>
          </w:tcPr>
          <w:p w14:paraId="77EEE2CC" w14:textId="77777777" w:rsidR="00FF6B5A" w:rsidRPr="00FF6B5A" w:rsidRDefault="00AF4E67"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7413" w:type="dxa"/>
            <w:shd w:val="clear" w:color="auto" w:fill="auto"/>
            <w:hideMark/>
          </w:tcPr>
          <w:p w14:paraId="227F95FC" w14:textId="0D0251EC"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543C52">
              <w:rPr>
                <w:rFonts w:ascii="Calibri" w:eastAsia="Times New Roman" w:hAnsi="Calibri" w:cs="Times New Roman"/>
                <w:color w:val="000000"/>
                <w:lang w:eastAsia="sk-SK"/>
              </w:rPr>
              <w:t>doc. JUDr. PhD.</w:t>
            </w:r>
          </w:p>
        </w:tc>
      </w:tr>
      <w:tr w:rsidR="00FF6B5A" w:rsidRPr="00FF6B5A" w14:paraId="3E131030" w14:textId="77777777" w:rsidTr="799E527B">
        <w:trPr>
          <w:trHeight w:val="660"/>
        </w:trPr>
        <w:tc>
          <w:tcPr>
            <w:tcW w:w="160" w:type="dxa"/>
            <w:shd w:val="clear" w:color="auto" w:fill="auto"/>
            <w:vAlign w:val="bottom"/>
            <w:hideMark/>
          </w:tcPr>
          <w:p w14:paraId="7005842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06" w:type="dxa"/>
            <w:gridSpan w:val="2"/>
            <w:shd w:val="clear" w:color="auto" w:fill="D9E1F2"/>
            <w:vAlign w:val="center"/>
            <w:hideMark/>
          </w:tcPr>
          <w:p w14:paraId="1EAB26A2" w14:textId="77777777" w:rsidR="00FF6B5A" w:rsidRPr="00FF6B5A" w:rsidRDefault="00AF4E67"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7413" w:type="dxa"/>
            <w:shd w:val="clear" w:color="auto" w:fill="auto"/>
            <w:hideMark/>
          </w:tcPr>
          <w:p w14:paraId="2B5657FB" w14:textId="77777777" w:rsidR="00543C52" w:rsidRPr="00DB1F1D" w:rsidRDefault="00FF6B5A" w:rsidP="00543C52">
            <w:pPr>
              <w:rPr>
                <w:color w:val="000000" w:themeColor="text1"/>
              </w:rPr>
            </w:pPr>
            <w:r w:rsidRPr="00FF6B5A">
              <w:rPr>
                <w:rFonts w:ascii="Calibri" w:eastAsia="Times New Roman" w:hAnsi="Calibri" w:cs="Times New Roman"/>
                <w:color w:val="000000"/>
                <w:lang w:eastAsia="sk-SK"/>
              </w:rPr>
              <w:t> </w:t>
            </w:r>
            <w:r w:rsidR="00543C52">
              <w:rPr>
                <w:rStyle w:val="normaltextrun"/>
                <w:rFonts w:ascii="Calibri" w:hAnsi="Calibri" w:cs="Calibri"/>
                <w:i/>
                <w:iCs/>
                <w:color w:val="000000"/>
              </w:rPr>
              <w:t> </w:t>
            </w:r>
            <w:hyperlink r:id="rId15" w:tgtFrame="_blank" w:history="1">
              <w:r w:rsidR="00543C52" w:rsidRPr="00DB1F1D">
                <w:rPr>
                  <w:rStyle w:val="normaltextrun"/>
                  <w:rFonts w:ascii="Calibri" w:hAnsi="Calibri" w:cs="Calibri"/>
                  <w:color w:val="000000" w:themeColor="text1"/>
                  <w:u w:val="single"/>
                </w:rPr>
                <w:t>https://www.portalvs.sk/regzam/detail/8754?do=filterForm-submit&amp;name=Monika&amp;surname=Jurčová&amp;university=713000000&amp;faculty=713050000&amp;sort=surname&amp;employment_state=yes&amp;filter=Vyhľadať</w:t>
              </w:r>
            </w:hyperlink>
            <w:r w:rsidR="00543C52" w:rsidRPr="00DB1F1D">
              <w:rPr>
                <w:rStyle w:val="eop"/>
                <w:rFonts w:ascii="Calibri" w:hAnsi="Calibri" w:cs="Calibri"/>
                <w:color w:val="000000" w:themeColor="text1"/>
              </w:rPr>
              <w:t> </w:t>
            </w:r>
          </w:p>
          <w:p w14:paraId="26F5C854" w14:textId="2A7A0A02" w:rsidR="00FF6B5A" w:rsidRPr="00FF6B5A" w:rsidRDefault="00FF6B5A" w:rsidP="00FF6B5A">
            <w:pPr>
              <w:spacing w:after="0" w:line="240" w:lineRule="auto"/>
              <w:rPr>
                <w:rFonts w:ascii="Calibri" w:eastAsia="Times New Roman" w:hAnsi="Calibri" w:cs="Times New Roman"/>
                <w:color w:val="000000"/>
                <w:lang w:eastAsia="sk-SK"/>
              </w:rPr>
            </w:pPr>
          </w:p>
        </w:tc>
      </w:tr>
      <w:tr w:rsidR="00FF6B5A" w:rsidRPr="00FF6B5A" w14:paraId="6B1C1AC5" w14:textId="77777777" w:rsidTr="799E527B">
        <w:trPr>
          <w:trHeight w:val="300"/>
        </w:trPr>
        <w:tc>
          <w:tcPr>
            <w:tcW w:w="160" w:type="dxa"/>
            <w:shd w:val="clear" w:color="auto" w:fill="auto"/>
            <w:vAlign w:val="bottom"/>
            <w:hideMark/>
          </w:tcPr>
          <w:p w14:paraId="7C60DAD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06" w:type="dxa"/>
            <w:gridSpan w:val="2"/>
            <w:shd w:val="clear" w:color="auto" w:fill="D9E1F2"/>
            <w:vAlign w:val="center"/>
            <w:hideMark/>
          </w:tcPr>
          <w:p w14:paraId="2AB7C53E" w14:textId="77777777" w:rsidR="00FF6B5A" w:rsidRPr="00FF6B5A" w:rsidRDefault="00AF4E67" w:rsidP="004E4845">
            <w:pPr>
              <w:spacing w:after="0" w:line="240" w:lineRule="auto"/>
              <w:rPr>
                <w:rFonts w:ascii="Calibri" w:eastAsia="Times New Roman" w:hAnsi="Calibri" w:cs="Times New Roman"/>
                <w:lang w:eastAsia="sk-SK"/>
              </w:rPr>
            </w:pPr>
            <w:hyperlink r:id="rId16"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7413" w:type="dxa"/>
            <w:shd w:val="clear" w:color="auto" w:fill="auto"/>
            <w:hideMark/>
          </w:tcPr>
          <w:p w14:paraId="6716A746" w14:textId="08164BC6" w:rsidR="00FF6B5A" w:rsidRPr="00FF6B5A" w:rsidRDefault="00FF6B5A" w:rsidP="00422600">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AF4E67" w:rsidRPr="001754C9">
              <w:rPr>
                <w:rFonts w:eastAsia="Times New Roman" w:cstheme="minorHAnsi"/>
                <w:lang w:eastAsia="sk-SK"/>
              </w:rPr>
              <w:t xml:space="preserve">Študijný program Občianske právo, 3. stupeň / </w:t>
            </w:r>
            <w:proofErr w:type="spellStart"/>
            <w:r w:rsidR="00AF4E67" w:rsidRPr="001754C9">
              <w:rPr>
                <w:rFonts w:eastAsia="Times New Roman" w:cstheme="minorHAnsi"/>
                <w:lang w:eastAsia="sk-SK"/>
              </w:rPr>
              <w:t>Third</w:t>
            </w:r>
            <w:proofErr w:type="spellEnd"/>
            <w:r w:rsidR="00AF4E67" w:rsidRPr="001754C9">
              <w:rPr>
                <w:rFonts w:eastAsia="Times New Roman" w:cstheme="minorHAnsi"/>
                <w:lang w:eastAsia="sk-SK"/>
              </w:rPr>
              <w:t xml:space="preserve"> </w:t>
            </w:r>
            <w:proofErr w:type="spellStart"/>
            <w:r w:rsidR="00AF4E67" w:rsidRPr="001754C9">
              <w:rPr>
                <w:rFonts w:eastAsia="Times New Roman" w:cstheme="minorHAnsi"/>
                <w:lang w:eastAsia="sk-SK"/>
              </w:rPr>
              <w:t>degree</w:t>
            </w:r>
            <w:proofErr w:type="spellEnd"/>
            <w:r w:rsidR="00AF4E67" w:rsidRPr="001754C9">
              <w:rPr>
                <w:rFonts w:eastAsia="Times New Roman" w:cstheme="minorHAnsi"/>
                <w:lang w:eastAsia="sk-SK"/>
              </w:rPr>
              <w:t xml:space="preserve"> study programe "Civil </w:t>
            </w:r>
            <w:proofErr w:type="spellStart"/>
            <w:r w:rsidR="00AF4E67" w:rsidRPr="001754C9">
              <w:rPr>
                <w:rFonts w:eastAsia="Times New Roman" w:cstheme="minorHAnsi"/>
                <w:lang w:eastAsia="sk-SK"/>
              </w:rPr>
              <w:t>law</w:t>
            </w:r>
            <w:proofErr w:type="spellEnd"/>
            <w:r w:rsidR="00AF4E67" w:rsidRPr="001754C9">
              <w:rPr>
                <w:rFonts w:eastAsia="Times New Roman" w:cstheme="minorHAnsi"/>
                <w:lang w:eastAsia="sk-SK"/>
              </w:rPr>
              <w:t xml:space="preserve">" / Odbor habilitačného a inauguračného konania  "Občianske právo" / </w:t>
            </w:r>
            <w:proofErr w:type="spellStart"/>
            <w:r w:rsidR="00AF4E67" w:rsidRPr="001754C9">
              <w:rPr>
                <w:rFonts w:eastAsia="Times New Roman" w:cstheme="minorHAnsi"/>
                <w:lang w:eastAsia="sk-SK"/>
              </w:rPr>
              <w:t>The</w:t>
            </w:r>
            <w:proofErr w:type="spellEnd"/>
            <w:r w:rsidR="00AF4E67" w:rsidRPr="001754C9">
              <w:rPr>
                <w:rFonts w:eastAsia="Times New Roman" w:cstheme="minorHAnsi"/>
                <w:lang w:eastAsia="sk-SK"/>
              </w:rPr>
              <w:t xml:space="preserve"> </w:t>
            </w:r>
            <w:proofErr w:type="spellStart"/>
            <w:r w:rsidR="00AF4E67" w:rsidRPr="001754C9">
              <w:rPr>
                <w:rFonts w:eastAsia="Times New Roman" w:cstheme="minorHAnsi"/>
                <w:lang w:eastAsia="sk-SK"/>
              </w:rPr>
              <w:t>field</w:t>
            </w:r>
            <w:proofErr w:type="spellEnd"/>
            <w:r w:rsidR="00AF4E67" w:rsidRPr="001754C9">
              <w:rPr>
                <w:rFonts w:eastAsia="Times New Roman" w:cstheme="minorHAnsi"/>
                <w:lang w:eastAsia="sk-SK"/>
              </w:rPr>
              <w:t xml:space="preserve"> of </w:t>
            </w:r>
            <w:proofErr w:type="spellStart"/>
            <w:r w:rsidR="00AF4E67" w:rsidRPr="001754C9">
              <w:rPr>
                <w:rFonts w:eastAsia="Times New Roman" w:cstheme="minorHAnsi"/>
                <w:lang w:eastAsia="sk-SK"/>
              </w:rPr>
              <w:t>the</w:t>
            </w:r>
            <w:proofErr w:type="spellEnd"/>
            <w:r w:rsidR="00AF4E67" w:rsidRPr="001754C9">
              <w:rPr>
                <w:rFonts w:eastAsia="Times New Roman" w:cstheme="minorHAnsi"/>
                <w:lang w:eastAsia="sk-SK"/>
              </w:rPr>
              <w:t xml:space="preserve"> </w:t>
            </w:r>
            <w:proofErr w:type="spellStart"/>
            <w:r w:rsidR="00AF4E67" w:rsidRPr="001754C9">
              <w:rPr>
                <w:rFonts w:eastAsia="Times New Roman" w:cstheme="minorHAnsi"/>
                <w:lang w:eastAsia="sk-SK"/>
              </w:rPr>
              <w:t>habilitation</w:t>
            </w:r>
            <w:proofErr w:type="spellEnd"/>
            <w:r w:rsidR="00AF4E67" w:rsidRPr="001754C9">
              <w:rPr>
                <w:rFonts w:eastAsia="Times New Roman" w:cstheme="minorHAnsi"/>
                <w:lang w:eastAsia="sk-SK"/>
              </w:rPr>
              <w:t xml:space="preserve"> </w:t>
            </w:r>
            <w:proofErr w:type="spellStart"/>
            <w:r w:rsidR="00AF4E67" w:rsidRPr="001754C9">
              <w:rPr>
                <w:rFonts w:eastAsia="Times New Roman" w:cstheme="minorHAnsi"/>
                <w:lang w:eastAsia="sk-SK"/>
              </w:rPr>
              <w:t>procedure</w:t>
            </w:r>
            <w:proofErr w:type="spellEnd"/>
            <w:r w:rsidR="00AF4E67" w:rsidRPr="001754C9">
              <w:rPr>
                <w:rFonts w:eastAsia="Times New Roman" w:cstheme="minorHAnsi"/>
                <w:lang w:eastAsia="sk-SK"/>
              </w:rPr>
              <w:t xml:space="preserve"> and </w:t>
            </w:r>
            <w:proofErr w:type="spellStart"/>
            <w:r w:rsidR="00AF4E67" w:rsidRPr="001754C9">
              <w:rPr>
                <w:rFonts w:eastAsia="Times New Roman" w:cstheme="minorHAnsi"/>
                <w:lang w:eastAsia="sk-SK"/>
              </w:rPr>
              <w:t>inaugural</w:t>
            </w:r>
            <w:proofErr w:type="spellEnd"/>
            <w:r w:rsidR="00AF4E67" w:rsidRPr="001754C9">
              <w:rPr>
                <w:rFonts w:eastAsia="Times New Roman" w:cstheme="minorHAnsi"/>
                <w:lang w:eastAsia="sk-SK"/>
              </w:rPr>
              <w:t xml:space="preserve"> </w:t>
            </w:r>
            <w:proofErr w:type="spellStart"/>
            <w:r w:rsidR="00AF4E67" w:rsidRPr="001754C9">
              <w:rPr>
                <w:rFonts w:eastAsia="Times New Roman" w:cstheme="minorHAnsi"/>
                <w:lang w:eastAsia="sk-SK"/>
              </w:rPr>
              <w:t>procedure</w:t>
            </w:r>
            <w:proofErr w:type="spellEnd"/>
            <w:r w:rsidR="00AF4E67" w:rsidRPr="001754C9">
              <w:rPr>
                <w:rFonts w:eastAsia="Times New Roman" w:cstheme="minorHAnsi"/>
                <w:lang w:eastAsia="sk-SK"/>
              </w:rPr>
              <w:t xml:space="preserve">: "Civil </w:t>
            </w:r>
            <w:proofErr w:type="spellStart"/>
            <w:r w:rsidR="00AF4E67" w:rsidRPr="001754C9">
              <w:rPr>
                <w:rFonts w:eastAsia="Times New Roman" w:cstheme="minorHAnsi"/>
                <w:lang w:eastAsia="sk-SK"/>
              </w:rPr>
              <w:t>Law</w:t>
            </w:r>
            <w:proofErr w:type="spellEnd"/>
            <w:r w:rsidR="00AF4E67" w:rsidRPr="001754C9">
              <w:rPr>
                <w:rFonts w:eastAsia="Times New Roman" w:cstheme="minorHAnsi"/>
                <w:lang w:eastAsia="sk-SK"/>
              </w:rPr>
              <w:t>"</w:t>
            </w:r>
          </w:p>
        </w:tc>
      </w:tr>
      <w:tr w:rsidR="008E2108" w:rsidRPr="00FF6B5A" w14:paraId="1FF56F96" w14:textId="77777777" w:rsidTr="799E527B">
        <w:trPr>
          <w:trHeight w:val="300"/>
        </w:trPr>
        <w:tc>
          <w:tcPr>
            <w:tcW w:w="160" w:type="dxa"/>
            <w:shd w:val="clear" w:color="auto" w:fill="auto"/>
            <w:vAlign w:val="bottom"/>
          </w:tcPr>
          <w:p w14:paraId="303BD873"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2506" w:type="dxa"/>
            <w:gridSpan w:val="2"/>
            <w:shd w:val="clear" w:color="auto" w:fill="D5DCE4" w:themeFill="text2" w:themeFillTint="33"/>
            <w:vAlign w:val="center"/>
          </w:tcPr>
          <w:p w14:paraId="02EB8860" w14:textId="2D7A9F4D" w:rsidR="008E2108" w:rsidRDefault="2C48EBEC" w:rsidP="799E527B">
            <w:pPr>
              <w:spacing w:after="0" w:line="240" w:lineRule="auto"/>
              <w:rPr>
                <w:rFonts w:ascii="Calibri" w:eastAsia="Calibri" w:hAnsi="Calibri" w:cs="Calibri"/>
              </w:rPr>
            </w:pPr>
            <w:r w:rsidRPr="799E527B">
              <w:rPr>
                <w:rFonts w:ascii="Calibri" w:eastAsia="Calibri" w:hAnsi="Calibri" w:cs="Calibri"/>
              </w:rPr>
              <w:t>Zaradenie (PF TU)</w:t>
            </w:r>
          </w:p>
        </w:tc>
        <w:tc>
          <w:tcPr>
            <w:tcW w:w="7413" w:type="dxa"/>
            <w:shd w:val="clear" w:color="auto" w:fill="auto"/>
          </w:tcPr>
          <w:p w14:paraId="20DB8120" w14:textId="7C824CF7" w:rsidR="008E2108" w:rsidRPr="00BC418A" w:rsidRDefault="00543C52" w:rsidP="799E527B">
            <w:pPr>
              <w:spacing w:after="0" w:line="240" w:lineRule="auto"/>
              <w:rPr>
                <w:rFonts w:ascii="Calibri" w:eastAsia="Times New Roman" w:hAnsi="Calibri" w:cs="Times New Roman"/>
                <w:color w:val="000000"/>
                <w:lang w:eastAsia="sk-SK"/>
              </w:rPr>
            </w:pPr>
            <w:r w:rsidRPr="799E527B">
              <w:rPr>
                <w:rFonts w:ascii="Calibri" w:eastAsia="Times New Roman" w:hAnsi="Calibri" w:cs="Times New Roman"/>
                <w:color w:val="000000" w:themeColor="text1"/>
                <w:lang w:eastAsia="sk-SK"/>
              </w:rPr>
              <w:t>A+</w:t>
            </w:r>
          </w:p>
        </w:tc>
      </w:tr>
      <w:tr w:rsidR="00FF6B5A" w:rsidRPr="00FF6B5A" w14:paraId="518F8B08" w14:textId="77777777" w:rsidTr="799E527B">
        <w:trPr>
          <w:trHeight w:val="660"/>
        </w:trPr>
        <w:tc>
          <w:tcPr>
            <w:tcW w:w="160" w:type="dxa"/>
            <w:shd w:val="clear" w:color="auto" w:fill="auto"/>
            <w:vAlign w:val="bottom"/>
            <w:hideMark/>
          </w:tcPr>
          <w:p w14:paraId="25C6987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06" w:type="dxa"/>
            <w:gridSpan w:val="2"/>
            <w:shd w:val="clear" w:color="auto" w:fill="D9E1F2"/>
            <w:vAlign w:val="center"/>
            <w:hideMark/>
          </w:tcPr>
          <w:p w14:paraId="4ED51328" w14:textId="77777777" w:rsidR="00FF6B5A" w:rsidRDefault="00AF4E67" w:rsidP="008E2108">
            <w:pPr>
              <w:spacing w:after="0" w:line="240" w:lineRule="auto"/>
              <w:rPr>
                <w:rFonts w:ascii="Calibri" w:eastAsia="Times New Roman" w:hAnsi="Calibri" w:cs="Times New Roman"/>
                <w:i/>
                <w:iCs/>
                <w:color w:val="808080"/>
                <w:lang w:eastAsia="sk-SK"/>
              </w:rPr>
            </w:pPr>
            <w:hyperlink r:id="rId17"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5F4CC942"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lastRenderedPageBreak/>
              <w:t>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7413" w:type="dxa"/>
            <w:shd w:val="clear" w:color="auto" w:fill="auto"/>
            <w:hideMark/>
          </w:tcPr>
          <w:p w14:paraId="54AD2BE2" w14:textId="04743855" w:rsidR="00FF6B5A" w:rsidRPr="00DB1F1D" w:rsidRDefault="00422600" w:rsidP="00FF6B5A">
            <w:pPr>
              <w:spacing w:after="0" w:line="240" w:lineRule="auto"/>
              <w:rPr>
                <w:rFonts w:ascii="Calibri" w:eastAsia="Times New Roman" w:hAnsi="Calibri" w:cs="Times New Roman"/>
                <w:iCs/>
                <w:lang w:eastAsia="sk-SK"/>
              </w:rPr>
            </w:pPr>
            <w:r w:rsidRPr="00DB1F1D">
              <w:rPr>
                <w:rFonts w:ascii="Calibri" w:eastAsia="Times New Roman" w:hAnsi="Calibri" w:cs="Times New Roman"/>
                <w:iCs/>
                <w:lang w:eastAsia="sk-SK"/>
              </w:rPr>
              <w:lastRenderedPageBreak/>
              <w:t>vedecký výstup</w:t>
            </w:r>
            <w:r w:rsidR="00DB1F1D" w:rsidRPr="00DB1F1D">
              <w:rPr>
                <w:rFonts w:ascii="Calibri" w:eastAsia="Times New Roman" w:hAnsi="Calibri" w:cs="Times New Roman"/>
                <w:iCs/>
                <w:lang w:eastAsia="sk-SK"/>
              </w:rPr>
              <w:t xml:space="preserve">/ </w:t>
            </w:r>
            <w:proofErr w:type="spellStart"/>
            <w:r w:rsidR="00DB1F1D" w:rsidRPr="00DB1F1D">
              <w:rPr>
                <w:rFonts w:ascii="Calibri" w:eastAsia="Times New Roman" w:hAnsi="Calibri" w:cs="Times New Roman"/>
                <w:iCs/>
                <w:lang w:eastAsia="sk-SK"/>
              </w:rPr>
              <w:t>scientific</w:t>
            </w:r>
            <w:proofErr w:type="spellEnd"/>
            <w:r w:rsidR="00DB1F1D" w:rsidRPr="00DB1F1D">
              <w:rPr>
                <w:rFonts w:ascii="Calibri" w:eastAsia="Times New Roman" w:hAnsi="Calibri" w:cs="Times New Roman"/>
                <w:iCs/>
                <w:lang w:eastAsia="sk-SK"/>
              </w:rPr>
              <w:t xml:space="preserve"> </w:t>
            </w:r>
            <w:proofErr w:type="spellStart"/>
            <w:r w:rsidR="00DB1F1D" w:rsidRPr="00DB1F1D">
              <w:rPr>
                <w:rFonts w:ascii="Calibri" w:eastAsia="Times New Roman" w:hAnsi="Calibri" w:cs="Times New Roman"/>
                <w:iCs/>
                <w:lang w:eastAsia="sk-SK"/>
              </w:rPr>
              <w:t>input</w:t>
            </w:r>
            <w:proofErr w:type="spellEnd"/>
          </w:p>
          <w:p w14:paraId="7A17243B" w14:textId="36C5C4E8" w:rsidR="008E7E49" w:rsidRPr="001F2D04" w:rsidRDefault="008E7E49" w:rsidP="008E7E49">
            <w:pPr>
              <w:rPr>
                <w:rFonts w:ascii="Segoe UI" w:hAnsi="Segoe UI" w:cs="Segoe UI"/>
                <w:i/>
                <w:color w:val="262626"/>
              </w:rPr>
            </w:pPr>
            <w:r w:rsidRPr="001F2D04">
              <w:rPr>
                <w:rStyle w:val="apple-converted-space"/>
                <w:rFonts w:ascii="Segoe UI" w:hAnsi="Segoe UI" w:cs="Segoe UI"/>
                <w:i/>
                <w:color w:val="262626"/>
              </w:rPr>
              <w:t> </w:t>
            </w:r>
          </w:p>
          <w:p w14:paraId="26F21D87" w14:textId="79A1C727" w:rsidR="008E7E49" w:rsidRDefault="008E7E49" w:rsidP="008E7E49"/>
          <w:p w14:paraId="4F4D3256" w14:textId="64D5D528" w:rsidR="008E7E49" w:rsidRDefault="008E7E49" w:rsidP="008E7E49"/>
          <w:p w14:paraId="1FD1E01D" w14:textId="00122F4C" w:rsidR="008E7E49" w:rsidRPr="00422600" w:rsidRDefault="008E7E49" w:rsidP="00FF6B5A">
            <w:pPr>
              <w:spacing w:after="0" w:line="240" w:lineRule="auto"/>
              <w:rPr>
                <w:rFonts w:ascii="Calibri" w:eastAsia="Times New Roman" w:hAnsi="Calibri" w:cs="Times New Roman"/>
                <w:iCs/>
                <w:color w:val="00B0F0"/>
                <w:lang w:eastAsia="sk-SK"/>
              </w:rPr>
            </w:pPr>
          </w:p>
        </w:tc>
      </w:tr>
      <w:tr w:rsidR="00FF6B5A" w:rsidRPr="00FF6B5A" w14:paraId="6CDCFCE9" w14:textId="77777777" w:rsidTr="799E527B">
        <w:trPr>
          <w:trHeight w:val="510"/>
        </w:trPr>
        <w:tc>
          <w:tcPr>
            <w:tcW w:w="160" w:type="dxa"/>
            <w:shd w:val="clear" w:color="auto" w:fill="auto"/>
            <w:vAlign w:val="bottom"/>
            <w:hideMark/>
          </w:tcPr>
          <w:p w14:paraId="0AD58B39"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2506" w:type="dxa"/>
            <w:gridSpan w:val="2"/>
            <w:shd w:val="clear" w:color="auto" w:fill="DAE3F3"/>
            <w:vAlign w:val="center"/>
            <w:hideMark/>
          </w:tcPr>
          <w:p w14:paraId="3D4AD0F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7413" w:type="dxa"/>
            <w:shd w:val="clear" w:color="auto" w:fill="auto"/>
            <w:hideMark/>
          </w:tcPr>
          <w:p w14:paraId="7A3F639A" w14:textId="26FECD7B"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8E7E49">
              <w:rPr>
                <w:rFonts w:ascii="Calibri" w:eastAsia="Times New Roman" w:hAnsi="Calibri" w:cs="Times New Roman"/>
                <w:color w:val="000000"/>
                <w:lang w:eastAsia="sk-SK"/>
              </w:rPr>
              <w:t>20</w:t>
            </w:r>
            <w:r w:rsidR="00DB1F1D">
              <w:rPr>
                <w:rFonts w:ascii="Calibri" w:eastAsia="Times New Roman" w:hAnsi="Calibri" w:cs="Times New Roman"/>
                <w:color w:val="000000"/>
                <w:lang w:eastAsia="sk-SK"/>
              </w:rPr>
              <w:t>15</w:t>
            </w:r>
          </w:p>
        </w:tc>
      </w:tr>
      <w:tr w:rsidR="00FF6B5A" w:rsidRPr="00FF6B5A" w14:paraId="7E3C7493" w14:textId="77777777" w:rsidTr="799E527B">
        <w:trPr>
          <w:trHeight w:val="660"/>
        </w:trPr>
        <w:tc>
          <w:tcPr>
            <w:tcW w:w="160" w:type="dxa"/>
            <w:shd w:val="clear" w:color="auto" w:fill="auto"/>
            <w:vAlign w:val="bottom"/>
            <w:hideMark/>
          </w:tcPr>
          <w:p w14:paraId="74DF5B1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06" w:type="dxa"/>
            <w:gridSpan w:val="2"/>
            <w:shd w:val="clear" w:color="auto" w:fill="D9E1F2"/>
            <w:vAlign w:val="center"/>
            <w:hideMark/>
          </w:tcPr>
          <w:p w14:paraId="37B7A46E" w14:textId="77777777" w:rsidR="00FF6B5A" w:rsidRPr="00FF6B5A" w:rsidRDefault="00AF4E67"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7413" w:type="dxa"/>
            <w:shd w:val="clear" w:color="auto" w:fill="auto"/>
            <w:hideMark/>
          </w:tcPr>
          <w:p w14:paraId="76A63565" w14:textId="77777777" w:rsidR="00DB1F1D" w:rsidRDefault="00DB1F1D" w:rsidP="00DB1F1D">
            <w:r>
              <w:rPr>
                <w:rFonts w:ascii="Helvetica Neue" w:hAnsi="Helvetica Neue"/>
                <w:color w:val="333333"/>
                <w:sz w:val="20"/>
                <w:szCs w:val="20"/>
                <w:shd w:val="clear" w:color="auto" w:fill="FFFFFF"/>
              </w:rPr>
              <w:t>ID: 175840 | </w:t>
            </w:r>
            <w:r>
              <w:rPr>
                <w:rStyle w:val="Vrazn"/>
              </w:rPr>
              <w:t>Darovacia zmluva</w:t>
            </w:r>
            <w:r>
              <w:rPr>
                <w:rStyle w:val="apple-converted-space"/>
                <w:rFonts w:ascii="Helvetica Neue" w:hAnsi="Helvetica Neue"/>
                <w:color w:val="333333"/>
                <w:sz w:val="20"/>
                <w:szCs w:val="20"/>
                <w:shd w:val="clear" w:color="auto" w:fill="FFFFFF"/>
              </w:rPr>
              <w:t> </w:t>
            </w:r>
            <w:r>
              <w:rPr>
                <w:rFonts w:ascii="Helvetica Neue" w:hAnsi="Helvetica Neue"/>
                <w:color w:val="333333"/>
                <w:sz w:val="20"/>
                <w:szCs w:val="20"/>
                <w:shd w:val="clear" w:color="auto" w:fill="FFFFFF"/>
              </w:rPr>
              <w:t>: § 628-630 / Jurčová, Monika [Autor, 100%]. – [recenzované]</w:t>
            </w:r>
            <w:r>
              <w:rPr>
                <w:rStyle w:val="apple-converted-space"/>
                <w:rFonts w:ascii="Helvetica Neue" w:hAnsi="Helvetica Neue"/>
                <w:color w:val="333333"/>
                <w:sz w:val="20"/>
                <w:szCs w:val="20"/>
                <w:shd w:val="clear" w:color="auto" w:fill="FFFFFF"/>
              </w:rPr>
              <w:t> </w:t>
            </w:r>
            <w:r>
              <w:rPr>
                <w:rFonts w:ascii="Helvetica Neue" w:hAnsi="Helvetica Neue"/>
                <w:color w:val="333333"/>
                <w:sz w:val="20"/>
                <w:szCs w:val="20"/>
              </w:rPr>
              <w:br/>
            </w:r>
            <w:r>
              <w:rPr>
                <w:rFonts w:ascii="Helvetica Neue" w:hAnsi="Helvetica Neue"/>
                <w:b/>
                <w:bCs/>
                <w:color w:val="333333"/>
                <w:sz w:val="20"/>
                <w:szCs w:val="20"/>
              </w:rPr>
              <w:t>In:</w:t>
            </w:r>
            <w:r>
              <w:rPr>
                <w:rStyle w:val="apple-converted-space"/>
                <w:rFonts w:ascii="Helvetica Neue" w:hAnsi="Helvetica Neue"/>
                <w:color w:val="333333"/>
                <w:sz w:val="20"/>
                <w:szCs w:val="20"/>
                <w:shd w:val="clear" w:color="auto" w:fill="FFFFFF"/>
              </w:rPr>
              <w:t> </w:t>
            </w:r>
            <w:r>
              <w:rPr>
                <w:rFonts w:ascii="Helvetica Neue" w:hAnsi="Helvetica Neue"/>
                <w:i/>
                <w:iCs/>
                <w:color w:val="333333"/>
                <w:sz w:val="20"/>
                <w:szCs w:val="20"/>
              </w:rPr>
              <w:t>Občiansky zákonník</w:t>
            </w:r>
            <w:r>
              <w:rPr>
                <w:rStyle w:val="apple-converted-space"/>
                <w:rFonts w:ascii="Helvetica Neue" w:hAnsi="Helvetica Neue"/>
                <w:color w:val="333333"/>
                <w:sz w:val="20"/>
                <w:szCs w:val="20"/>
                <w:shd w:val="clear" w:color="auto" w:fill="FFFFFF"/>
              </w:rPr>
              <w:t> </w:t>
            </w:r>
            <w:r>
              <w:rPr>
                <w:rFonts w:ascii="Helvetica Neue" w:hAnsi="Helvetica Neue"/>
                <w:color w:val="333333"/>
                <w:sz w:val="20"/>
                <w:szCs w:val="20"/>
                <w:shd w:val="clear" w:color="auto" w:fill="FFFFFF"/>
              </w:rPr>
              <w:t>(2) [textový dokument (</w:t>
            </w:r>
            <w:proofErr w:type="spellStart"/>
            <w:r>
              <w:rPr>
                <w:rFonts w:ascii="Helvetica Neue" w:hAnsi="Helvetica Neue"/>
                <w:color w:val="333333"/>
                <w:sz w:val="20"/>
                <w:szCs w:val="20"/>
                <w:shd w:val="clear" w:color="auto" w:fill="FFFFFF"/>
              </w:rPr>
              <w:t>print</w:t>
            </w:r>
            <w:proofErr w:type="spellEnd"/>
            <w:r>
              <w:rPr>
                <w:rFonts w:ascii="Helvetica Neue" w:hAnsi="Helvetica Neue"/>
                <w:color w:val="333333"/>
                <w:sz w:val="20"/>
                <w:szCs w:val="20"/>
                <w:shd w:val="clear" w:color="auto" w:fill="FFFFFF"/>
              </w:rPr>
              <w:t xml:space="preserve">)] : komentár : §451-880 / </w:t>
            </w:r>
            <w:proofErr w:type="spellStart"/>
            <w:r>
              <w:rPr>
                <w:rFonts w:ascii="Helvetica Neue" w:hAnsi="Helvetica Neue"/>
                <w:color w:val="333333"/>
                <w:sz w:val="20"/>
                <w:szCs w:val="20"/>
                <w:shd w:val="clear" w:color="auto" w:fill="FFFFFF"/>
              </w:rPr>
              <w:t>Števček</w:t>
            </w:r>
            <w:proofErr w:type="spellEnd"/>
            <w:r>
              <w:rPr>
                <w:rFonts w:ascii="Helvetica Neue" w:hAnsi="Helvetica Neue"/>
                <w:color w:val="333333"/>
                <w:sz w:val="20"/>
                <w:szCs w:val="20"/>
                <w:shd w:val="clear" w:color="auto" w:fill="FFFFFF"/>
              </w:rPr>
              <w:t xml:space="preserve">, Marek [Autor]. – 1. vyd. – Praha (Česko) : C.H. </w:t>
            </w:r>
            <w:proofErr w:type="spellStart"/>
            <w:r>
              <w:rPr>
                <w:rFonts w:ascii="Helvetica Neue" w:hAnsi="Helvetica Neue"/>
                <w:color w:val="333333"/>
                <w:sz w:val="20"/>
                <w:szCs w:val="20"/>
                <w:shd w:val="clear" w:color="auto" w:fill="FFFFFF"/>
              </w:rPr>
              <w:t>Beck</w:t>
            </w:r>
            <w:proofErr w:type="spellEnd"/>
            <w:r>
              <w:rPr>
                <w:rFonts w:ascii="Helvetica Neue" w:hAnsi="Helvetica Neue"/>
                <w:color w:val="333333"/>
                <w:sz w:val="20"/>
                <w:szCs w:val="20"/>
                <w:shd w:val="clear" w:color="auto" w:fill="FFFFFF"/>
              </w:rPr>
              <w:t>, 2015. – (Veľké komentáre). – ISBN 978-80-7400-597-8, s. 2183-2221 [3,59 AH] [tlačená forma]</w:t>
            </w:r>
          </w:p>
          <w:p w14:paraId="1B2BE6A8" w14:textId="138D8080" w:rsidR="00422600" w:rsidRPr="00FF6B5A" w:rsidRDefault="00422600" w:rsidP="00FE27EC">
            <w:pPr>
              <w:spacing w:after="0" w:line="240" w:lineRule="auto"/>
              <w:rPr>
                <w:rFonts w:ascii="Calibri" w:eastAsia="Times New Roman" w:hAnsi="Calibri" w:cs="Times New Roman"/>
                <w:color w:val="000000"/>
                <w:lang w:eastAsia="sk-SK"/>
              </w:rPr>
            </w:pPr>
          </w:p>
        </w:tc>
      </w:tr>
      <w:tr w:rsidR="00FF6B5A" w:rsidRPr="00FF6B5A" w14:paraId="488E438E" w14:textId="77777777" w:rsidTr="799E527B">
        <w:trPr>
          <w:trHeight w:val="525"/>
        </w:trPr>
        <w:tc>
          <w:tcPr>
            <w:tcW w:w="160" w:type="dxa"/>
            <w:shd w:val="clear" w:color="auto" w:fill="auto"/>
            <w:vAlign w:val="bottom"/>
            <w:hideMark/>
          </w:tcPr>
          <w:p w14:paraId="7051186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06" w:type="dxa"/>
            <w:gridSpan w:val="2"/>
            <w:shd w:val="clear" w:color="auto" w:fill="D9E1F2"/>
            <w:vAlign w:val="center"/>
            <w:hideMark/>
          </w:tcPr>
          <w:p w14:paraId="7222CC29" w14:textId="77777777" w:rsidR="00FF6B5A" w:rsidRPr="00FF6B5A" w:rsidRDefault="00AF4E67"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7413" w:type="dxa"/>
            <w:shd w:val="clear" w:color="auto" w:fill="auto"/>
            <w:hideMark/>
          </w:tcPr>
          <w:p w14:paraId="6712A1A7" w14:textId="77777777" w:rsidR="00DB1F1D" w:rsidRPr="00DB1F1D" w:rsidRDefault="00FF6B5A" w:rsidP="00DB1F1D">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hyperlink r:id="rId20" w:tgtFrame="_blank" w:history="1">
              <w:r w:rsidR="00DB1F1D" w:rsidRPr="00DB1F1D">
                <w:rPr>
                  <w:rStyle w:val="Hypertextovprepojenie"/>
                  <w:rFonts w:ascii="Calibri" w:eastAsia="Times New Roman" w:hAnsi="Calibri" w:cs="Times New Roman"/>
                  <w:lang w:eastAsia="sk-SK"/>
                </w:rPr>
                <w:t>https://app.crepc.sk/?fn=detailBiblioForm&amp;sid=77472A57103095E44E0D0BB0E4</w:t>
              </w:r>
            </w:hyperlink>
          </w:p>
          <w:p w14:paraId="3BFF3482" w14:textId="50D071E3" w:rsidR="00FF6B5A" w:rsidRPr="00FF6B5A" w:rsidRDefault="00FF6B5A" w:rsidP="00FE27EC">
            <w:pPr>
              <w:spacing w:after="0" w:line="240" w:lineRule="auto"/>
              <w:rPr>
                <w:rFonts w:ascii="Calibri" w:eastAsia="Times New Roman" w:hAnsi="Calibri" w:cs="Times New Roman"/>
                <w:color w:val="000000"/>
                <w:lang w:eastAsia="sk-SK"/>
              </w:rPr>
            </w:pPr>
          </w:p>
        </w:tc>
      </w:tr>
      <w:tr w:rsidR="00C86832" w:rsidRPr="00FF6B5A" w14:paraId="77FC843C" w14:textId="77777777" w:rsidTr="799E527B">
        <w:trPr>
          <w:trHeight w:val="525"/>
        </w:trPr>
        <w:tc>
          <w:tcPr>
            <w:tcW w:w="160" w:type="dxa"/>
            <w:shd w:val="clear" w:color="auto" w:fill="auto"/>
            <w:vAlign w:val="bottom"/>
          </w:tcPr>
          <w:p w14:paraId="14C280BF"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2506" w:type="dxa"/>
            <w:gridSpan w:val="2"/>
            <w:shd w:val="clear" w:color="auto" w:fill="D9E1F2"/>
            <w:vAlign w:val="center"/>
          </w:tcPr>
          <w:p w14:paraId="04D1D0EB" w14:textId="77777777" w:rsidR="00C86832" w:rsidRDefault="00C86832" w:rsidP="00532FE9">
            <w:pPr>
              <w:spacing w:after="0" w:line="240" w:lineRule="auto"/>
            </w:pPr>
          </w:p>
        </w:tc>
        <w:tc>
          <w:tcPr>
            <w:tcW w:w="7413" w:type="dxa"/>
            <w:shd w:val="clear" w:color="auto" w:fill="auto"/>
          </w:tcPr>
          <w:p w14:paraId="00487D53"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2C5D4378" w14:textId="77777777" w:rsidTr="799E527B">
        <w:trPr>
          <w:trHeight w:val="1065"/>
        </w:trPr>
        <w:tc>
          <w:tcPr>
            <w:tcW w:w="160" w:type="dxa"/>
            <w:shd w:val="clear" w:color="auto" w:fill="auto"/>
            <w:vAlign w:val="bottom"/>
            <w:hideMark/>
          </w:tcPr>
          <w:p w14:paraId="2D69DCA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vMerge w:val="restart"/>
            <w:shd w:val="clear" w:color="auto" w:fill="DAE3F3"/>
            <w:textDirection w:val="btLr"/>
            <w:vAlign w:val="center"/>
            <w:hideMark/>
          </w:tcPr>
          <w:p w14:paraId="51428EEA"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2190" w:type="dxa"/>
            <w:shd w:val="clear" w:color="auto" w:fill="D9E1F2"/>
            <w:vAlign w:val="center"/>
            <w:hideMark/>
          </w:tcPr>
          <w:p w14:paraId="01719335" w14:textId="77777777" w:rsidR="00FF6B5A" w:rsidRPr="00FF6B5A" w:rsidRDefault="00AF4E67"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7413" w:type="dxa"/>
            <w:shd w:val="clear" w:color="auto" w:fill="auto"/>
            <w:hideMark/>
          </w:tcPr>
          <w:p w14:paraId="7D2916D1"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7F44C330" w14:textId="77777777" w:rsidTr="799E527B">
        <w:trPr>
          <w:trHeight w:val="1515"/>
        </w:trPr>
        <w:tc>
          <w:tcPr>
            <w:tcW w:w="160" w:type="dxa"/>
            <w:shd w:val="clear" w:color="auto" w:fill="auto"/>
            <w:vAlign w:val="bottom"/>
            <w:hideMark/>
          </w:tcPr>
          <w:p w14:paraId="10F2150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vMerge/>
            <w:vAlign w:val="center"/>
            <w:hideMark/>
          </w:tcPr>
          <w:p w14:paraId="321E985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190" w:type="dxa"/>
            <w:shd w:val="clear" w:color="auto" w:fill="DAE3F3"/>
            <w:vAlign w:val="center"/>
            <w:hideMark/>
          </w:tcPr>
          <w:p w14:paraId="5AC7552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w:t>
            </w:r>
            <w:r w:rsidRPr="00FF6B5A">
              <w:rPr>
                <w:rFonts w:ascii="Calibri" w:eastAsia="Times New Roman" w:hAnsi="Calibri" w:cs="Times New Roman"/>
                <w:color w:val="000000"/>
                <w:lang w:eastAsia="sk-SK"/>
              </w:rPr>
              <w:lastRenderedPageBreak/>
              <w:t xml:space="preserve">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7413" w:type="dxa"/>
            <w:shd w:val="clear" w:color="auto" w:fill="auto"/>
            <w:hideMark/>
          </w:tcPr>
          <w:p w14:paraId="2C1A1282" w14:textId="07B649C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BC3494">
              <w:rPr>
                <w:rFonts w:ascii="Calibri" w:eastAsia="Times New Roman" w:hAnsi="Calibri" w:cs="Times New Roman"/>
                <w:color w:val="000000"/>
                <w:lang w:eastAsia="sk-SK"/>
              </w:rPr>
              <w:t>X</w:t>
            </w:r>
          </w:p>
        </w:tc>
      </w:tr>
      <w:tr w:rsidR="00FF6B5A" w:rsidRPr="00FF6B5A" w14:paraId="047C5B08" w14:textId="77777777" w:rsidTr="799E527B">
        <w:trPr>
          <w:trHeight w:val="1290"/>
        </w:trPr>
        <w:tc>
          <w:tcPr>
            <w:tcW w:w="160" w:type="dxa"/>
            <w:shd w:val="clear" w:color="auto" w:fill="auto"/>
            <w:vAlign w:val="bottom"/>
            <w:hideMark/>
          </w:tcPr>
          <w:p w14:paraId="0C0110F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vMerge/>
            <w:vAlign w:val="center"/>
            <w:hideMark/>
          </w:tcPr>
          <w:p w14:paraId="1FF45F0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190" w:type="dxa"/>
            <w:shd w:val="clear" w:color="auto" w:fill="D9E1F2"/>
            <w:vAlign w:val="center"/>
            <w:hideMark/>
          </w:tcPr>
          <w:p w14:paraId="7CEF133E" w14:textId="77777777" w:rsidR="00FF6B5A" w:rsidRPr="00FF6B5A" w:rsidRDefault="00AF4E67" w:rsidP="00087B3E">
            <w:pPr>
              <w:spacing w:after="0" w:line="240" w:lineRule="auto"/>
              <w:rPr>
                <w:rFonts w:ascii="Calibri" w:eastAsia="Times New Roman" w:hAnsi="Calibri" w:cs="Times New Roman"/>
                <w:lang w:eastAsia="sk-SK"/>
              </w:rPr>
            </w:pPr>
            <w:hyperlink r:id="rId22"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7413" w:type="dxa"/>
            <w:shd w:val="clear" w:color="auto" w:fill="auto"/>
            <w:hideMark/>
          </w:tcPr>
          <w:p w14:paraId="7AC22117" w14:textId="642AE48B"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BC3494" w:rsidRPr="00087B3E">
              <w:rPr>
                <w:rFonts w:ascii="Calibri" w:eastAsia="Times New Roman" w:hAnsi="Calibri" w:cs="Times New Roman"/>
                <w:iCs/>
                <w:color w:val="000000"/>
                <w:lang w:eastAsia="sk-SK"/>
              </w:rPr>
              <w:t>X</w:t>
            </w:r>
          </w:p>
        </w:tc>
      </w:tr>
      <w:tr w:rsidR="00FF6B5A" w:rsidRPr="00FF6B5A" w14:paraId="11DB7B66" w14:textId="77777777" w:rsidTr="799E527B">
        <w:trPr>
          <w:trHeight w:val="1110"/>
        </w:trPr>
        <w:tc>
          <w:tcPr>
            <w:tcW w:w="160" w:type="dxa"/>
            <w:shd w:val="clear" w:color="auto" w:fill="auto"/>
            <w:vAlign w:val="bottom"/>
            <w:hideMark/>
          </w:tcPr>
          <w:p w14:paraId="31BCF622"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316" w:type="dxa"/>
            <w:vMerge/>
            <w:vAlign w:val="center"/>
            <w:hideMark/>
          </w:tcPr>
          <w:p w14:paraId="393B40F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190" w:type="dxa"/>
            <w:shd w:val="clear" w:color="auto" w:fill="DAE3F3"/>
            <w:vAlign w:val="center"/>
            <w:hideMark/>
          </w:tcPr>
          <w:p w14:paraId="3138B3B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7413" w:type="dxa"/>
            <w:shd w:val="clear" w:color="auto" w:fill="auto"/>
            <w:hideMark/>
          </w:tcPr>
          <w:p w14:paraId="6753B88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76661205" w14:textId="77777777" w:rsidTr="799E527B">
        <w:trPr>
          <w:trHeight w:val="765"/>
        </w:trPr>
        <w:tc>
          <w:tcPr>
            <w:tcW w:w="160" w:type="dxa"/>
            <w:shd w:val="clear" w:color="auto" w:fill="auto"/>
            <w:vAlign w:val="bottom"/>
            <w:hideMark/>
          </w:tcPr>
          <w:p w14:paraId="2C19B5C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vMerge/>
            <w:vAlign w:val="center"/>
            <w:hideMark/>
          </w:tcPr>
          <w:p w14:paraId="7160205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190" w:type="dxa"/>
            <w:shd w:val="clear" w:color="auto" w:fill="DAE3F3"/>
            <w:vAlign w:val="center"/>
            <w:hideMark/>
          </w:tcPr>
          <w:p w14:paraId="0FC64DA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7413" w:type="dxa"/>
            <w:shd w:val="clear" w:color="auto" w:fill="auto"/>
            <w:hideMark/>
          </w:tcPr>
          <w:p w14:paraId="459EC12F" w14:textId="24F45878" w:rsidR="00FF6B5A" w:rsidRPr="00FF6B5A" w:rsidRDefault="573441C7" w:rsidP="00FF6B5A">
            <w:pPr>
              <w:spacing w:after="0" w:line="240" w:lineRule="auto"/>
              <w:rPr>
                <w:rFonts w:ascii="Calibri" w:eastAsia="Times New Roman" w:hAnsi="Calibri" w:cs="Times New Roman"/>
                <w:color w:val="000000"/>
                <w:lang w:eastAsia="sk-SK"/>
              </w:rPr>
            </w:pPr>
            <w:proofErr w:type="spellStart"/>
            <w:r w:rsidRPr="372CC6AE">
              <w:rPr>
                <w:rFonts w:ascii="Calibri" w:eastAsia="Times New Roman" w:hAnsi="Calibri" w:cs="Times New Roman"/>
                <w:color w:val="000000" w:themeColor="text1"/>
                <w:lang w:eastAsia="sk-SK"/>
              </w:rPr>
              <w:t>AutoR</w:t>
            </w:r>
            <w:proofErr w:type="spellEnd"/>
            <w:r w:rsidRPr="372CC6AE">
              <w:rPr>
                <w:rFonts w:ascii="Calibri" w:eastAsia="Times New Roman" w:hAnsi="Calibri" w:cs="Times New Roman"/>
                <w:color w:val="000000" w:themeColor="text1"/>
                <w:lang w:eastAsia="sk-SK"/>
              </w:rPr>
              <w:t xml:space="preserve">/ </w:t>
            </w:r>
            <w:proofErr w:type="spellStart"/>
            <w:r w:rsidRPr="372CC6AE">
              <w:rPr>
                <w:rFonts w:ascii="Calibri" w:eastAsia="Times New Roman" w:hAnsi="Calibri" w:cs="Times New Roman"/>
                <w:color w:val="000000" w:themeColor="text1"/>
                <w:lang w:eastAsia="sk-SK"/>
              </w:rPr>
              <w:t>author</w:t>
            </w:r>
            <w:proofErr w:type="spellEnd"/>
          </w:p>
        </w:tc>
      </w:tr>
      <w:tr w:rsidR="00FF6B5A" w:rsidRPr="00FF6B5A" w14:paraId="43D2DB01" w14:textId="77777777" w:rsidTr="799E527B">
        <w:trPr>
          <w:trHeight w:val="2310"/>
        </w:trPr>
        <w:tc>
          <w:tcPr>
            <w:tcW w:w="160" w:type="dxa"/>
            <w:shd w:val="clear" w:color="auto" w:fill="auto"/>
            <w:vAlign w:val="bottom"/>
            <w:hideMark/>
          </w:tcPr>
          <w:p w14:paraId="44CE43E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vMerge/>
            <w:vAlign w:val="center"/>
            <w:hideMark/>
          </w:tcPr>
          <w:p w14:paraId="380EBE2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190" w:type="dxa"/>
            <w:shd w:val="clear" w:color="auto" w:fill="D9E1F2"/>
            <w:vAlign w:val="center"/>
            <w:hideMark/>
          </w:tcPr>
          <w:p w14:paraId="28A250A3" w14:textId="77777777" w:rsidR="00FF6B5A" w:rsidRPr="00FF6B5A" w:rsidRDefault="00AF4E67"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lastRenderedPageBreak/>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7413" w:type="dxa"/>
            <w:shd w:val="clear" w:color="auto" w:fill="auto"/>
            <w:hideMark/>
          </w:tcPr>
          <w:p w14:paraId="75FC4EF5"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6B6E13B9" w14:textId="77777777" w:rsidR="00422600" w:rsidRDefault="00422600" w:rsidP="00FF6B5A">
            <w:pPr>
              <w:spacing w:after="0" w:line="240" w:lineRule="auto"/>
              <w:rPr>
                <w:rFonts w:ascii="Calibri" w:eastAsia="Times New Roman" w:hAnsi="Calibri" w:cs="Times New Roman"/>
                <w:color w:val="000000"/>
                <w:lang w:eastAsia="sk-SK"/>
              </w:rPr>
            </w:pPr>
          </w:p>
          <w:p w14:paraId="78F790D2" w14:textId="48C46A85" w:rsidR="00422600" w:rsidRDefault="29224C32" w:rsidP="00FF6B5A">
            <w:pPr>
              <w:spacing w:after="0" w:line="240" w:lineRule="auto"/>
              <w:rPr>
                <w:rFonts w:ascii="Calibri" w:eastAsia="Times New Roman" w:hAnsi="Calibri" w:cs="Times New Roman"/>
                <w:color w:val="000000"/>
                <w:lang w:eastAsia="sk-SK"/>
              </w:rPr>
            </w:pPr>
            <w:r w:rsidRPr="372CC6AE">
              <w:rPr>
                <w:rFonts w:ascii="Calibri" w:eastAsia="Times New Roman" w:hAnsi="Calibri" w:cs="Times New Roman"/>
                <w:color w:val="000000" w:themeColor="text1"/>
                <w:lang w:eastAsia="sk-SK"/>
              </w:rPr>
              <w:t xml:space="preserve">Publikácia je súčasťou vedeckého komentára v renomovanom vydavateľstve a autor bol prizvaný participovať na ňom/  </w:t>
            </w:r>
            <w:proofErr w:type="spellStart"/>
            <w:r w:rsidRPr="372CC6AE">
              <w:rPr>
                <w:rFonts w:ascii="Calibri" w:eastAsia="Times New Roman" w:hAnsi="Calibri" w:cs="Times New Roman"/>
                <w:color w:val="000000" w:themeColor="text1"/>
                <w:lang w:eastAsia="sk-SK"/>
              </w:rPr>
              <w:t>The</w:t>
            </w:r>
            <w:proofErr w:type="spellEnd"/>
            <w:r w:rsidRPr="372CC6AE">
              <w:rPr>
                <w:rFonts w:ascii="Calibri" w:eastAsia="Times New Roman" w:hAnsi="Calibri" w:cs="Times New Roman"/>
                <w:color w:val="000000" w:themeColor="text1"/>
                <w:lang w:eastAsia="sk-SK"/>
              </w:rPr>
              <w:t xml:space="preserve"> </w:t>
            </w:r>
            <w:proofErr w:type="spellStart"/>
            <w:r w:rsidRPr="372CC6AE">
              <w:rPr>
                <w:rFonts w:ascii="Calibri" w:eastAsia="Times New Roman" w:hAnsi="Calibri" w:cs="Times New Roman"/>
                <w:color w:val="000000" w:themeColor="text1"/>
                <w:lang w:eastAsia="sk-SK"/>
              </w:rPr>
              <w:t>publication</w:t>
            </w:r>
            <w:proofErr w:type="spellEnd"/>
            <w:r w:rsidRPr="372CC6AE">
              <w:rPr>
                <w:rFonts w:ascii="Calibri" w:eastAsia="Times New Roman" w:hAnsi="Calibri" w:cs="Times New Roman"/>
                <w:color w:val="000000" w:themeColor="text1"/>
                <w:lang w:eastAsia="sk-SK"/>
              </w:rPr>
              <w:t xml:space="preserve"> </w:t>
            </w:r>
            <w:proofErr w:type="spellStart"/>
            <w:r w:rsidRPr="372CC6AE">
              <w:rPr>
                <w:rFonts w:ascii="Calibri" w:eastAsia="Times New Roman" w:hAnsi="Calibri" w:cs="Times New Roman"/>
                <w:color w:val="000000" w:themeColor="text1"/>
                <w:lang w:eastAsia="sk-SK"/>
              </w:rPr>
              <w:t>is</w:t>
            </w:r>
            <w:proofErr w:type="spellEnd"/>
            <w:r w:rsidRPr="372CC6AE">
              <w:rPr>
                <w:rFonts w:ascii="Calibri" w:eastAsia="Times New Roman" w:hAnsi="Calibri" w:cs="Times New Roman"/>
                <w:color w:val="000000" w:themeColor="text1"/>
                <w:lang w:eastAsia="sk-SK"/>
              </w:rPr>
              <w:t xml:space="preserve"> part of a </w:t>
            </w:r>
            <w:proofErr w:type="spellStart"/>
            <w:r w:rsidRPr="372CC6AE">
              <w:rPr>
                <w:rFonts w:ascii="Calibri" w:eastAsia="Times New Roman" w:hAnsi="Calibri" w:cs="Times New Roman"/>
                <w:color w:val="000000" w:themeColor="text1"/>
                <w:lang w:eastAsia="sk-SK"/>
              </w:rPr>
              <w:t>scholarly</w:t>
            </w:r>
            <w:proofErr w:type="spellEnd"/>
            <w:r w:rsidRPr="372CC6AE">
              <w:rPr>
                <w:rFonts w:ascii="Calibri" w:eastAsia="Times New Roman" w:hAnsi="Calibri" w:cs="Times New Roman"/>
                <w:color w:val="000000" w:themeColor="text1"/>
                <w:lang w:eastAsia="sk-SK"/>
              </w:rPr>
              <w:t xml:space="preserve"> </w:t>
            </w:r>
            <w:proofErr w:type="spellStart"/>
            <w:r w:rsidRPr="372CC6AE">
              <w:rPr>
                <w:rFonts w:ascii="Calibri" w:eastAsia="Times New Roman" w:hAnsi="Calibri" w:cs="Times New Roman"/>
                <w:color w:val="000000" w:themeColor="text1"/>
                <w:lang w:eastAsia="sk-SK"/>
              </w:rPr>
              <w:t>commentary</w:t>
            </w:r>
            <w:proofErr w:type="spellEnd"/>
            <w:r w:rsidRPr="372CC6AE">
              <w:rPr>
                <w:rFonts w:ascii="Calibri" w:eastAsia="Times New Roman" w:hAnsi="Calibri" w:cs="Times New Roman"/>
                <w:color w:val="000000" w:themeColor="text1"/>
                <w:lang w:eastAsia="sk-SK"/>
              </w:rPr>
              <w:t xml:space="preserve"> in </w:t>
            </w:r>
            <w:proofErr w:type="spellStart"/>
            <w:r w:rsidRPr="372CC6AE">
              <w:rPr>
                <w:rFonts w:ascii="Calibri" w:eastAsia="Times New Roman" w:hAnsi="Calibri" w:cs="Times New Roman"/>
                <w:color w:val="000000" w:themeColor="text1"/>
                <w:lang w:eastAsia="sk-SK"/>
              </w:rPr>
              <w:t>the</w:t>
            </w:r>
            <w:proofErr w:type="spellEnd"/>
            <w:r w:rsidRPr="372CC6AE">
              <w:rPr>
                <w:rFonts w:ascii="Calibri" w:eastAsia="Times New Roman" w:hAnsi="Calibri" w:cs="Times New Roman"/>
                <w:color w:val="000000" w:themeColor="text1"/>
                <w:lang w:eastAsia="sk-SK"/>
              </w:rPr>
              <w:t xml:space="preserve"> </w:t>
            </w:r>
            <w:proofErr w:type="spellStart"/>
            <w:r w:rsidRPr="372CC6AE">
              <w:rPr>
                <w:rFonts w:ascii="Calibri" w:eastAsia="Times New Roman" w:hAnsi="Calibri" w:cs="Times New Roman"/>
                <w:color w:val="000000" w:themeColor="text1"/>
                <w:lang w:eastAsia="sk-SK"/>
              </w:rPr>
              <w:t>renowned</w:t>
            </w:r>
            <w:proofErr w:type="spellEnd"/>
            <w:r w:rsidRPr="372CC6AE">
              <w:rPr>
                <w:rFonts w:ascii="Calibri" w:eastAsia="Times New Roman" w:hAnsi="Calibri" w:cs="Times New Roman"/>
                <w:color w:val="000000" w:themeColor="text1"/>
                <w:lang w:eastAsia="sk-SK"/>
              </w:rPr>
              <w:t xml:space="preserve"> </w:t>
            </w:r>
            <w:proofErr w:type="spellStart"/>
            <w:r w:rsidRPr="372CC6AE">
              <w:rPr>
                <w:rFonts w:ascii="Calibri" w:eastAsia="Times New Roman" w:hAnsi="Calibri" w:cs="Times New Roman"/>
                <w:color w:val="000000" w:themeColor="text1"/>
                <w:lang w:eastAsia="sk-SK"/>
              </w:rPr>
              <w:t>publishing</w:t>
            </w:r>
            <w:proofErr w:type="spellEnd"/>
            <w:r w:rsidRPr="372CC6AE">
              <w:rPr>
                <w:rFonts w:ascii="Calibri" w:eastAsia="Times New Roman" w:hAnsi="Calibri" w:cs="Times New Roman"/>
                <w:color w:val="000000" w:themeColor="text1"/>
                <w:lang w:eastAsia="sk-SK"/>
              </w:rPr>
              <w:t xml:space="preserve"> </w:t>
            </w:r>
            <w:proofErr w:type="spellStart"/>
            <w:r w:rsidRPr="372CC6AE">
              <w:rPr>
                <w:rFonts w:ascii="Calibri" w:eastAsia="Times New Roman" w:hAnsi="Calibri" w:cs="Times New Roman"/>
                <w:color w:val="000000" w:themeColor="text1"/>
                <w:lang w:eastAsia="sk-SK"/>
              </w:rPr>
              <w:t>house</w:t>
            </w:r>
            <w:proofErr w:type="spellEnd"/>
            <w:r w:rsidR="49A67398" w:rsidRPr="372CC6AE">
              <w:rPr>
                <w:rFonts w:ascii="Calibri" w:eastAsia="Times New Roman" w:hAnsi="Calibri" w:cs="Times New Roman"/>
                <w:color w:val="000000" w:themeColor="text1"/>
                <w:lang w:eastAsia="sk-SK"/>
              </w:rPr>
              <w:t xml:space="preserve"> </w:t>
            </w:r>
            <w:proofErr w:type="spellStart"/>
            <w:r w:rsidR="49A67398" w:rsidRPr="372CC6AE">
              <w:rPr>
                <w:rFonts w:ascii="Calibri" w:eastAsia="Times New Roman" w:hAnsi="Calibri" w:cs="Times New Roman"/>
                <w:color w:val="000000" w:themeColor="text1"/>
                <w:lang w:eastAsia="sk-SK"/>
              </w:rPr>
              <w:t>the</w:t>
            </w:r>
            <w:proofErr w:type="spellEnd"/>
            <w:r w:rsidR="49A67398" w:rsidRPr="372CC6AE">
              <w:rPr>
                <w:rFonts w:ascii="Calibri" w:eastAsia="Times New Roman" w:hAnsi="Calibri" w:cs="Times New Roman"/>
                <w:color w:val="000000" w:themeColor="text1"/>
                <w:lang w:eastAsia="sk-SK"/>
              </w:rPr>
              <w:t xml:space="preserve"> </w:t>
            </w:r>
            <w:proofErr w:type="spellStart"/>
            <w:r w:rsidR="49A67398" w:rsidRPr="372CC6AE">
              <w:rPr>
                <w:rFonts w:ascii="Calibri" w:eastAsia="Times New Roman" w:hAnsi="Calibri" w:cs="Times New Roman"/>
                <w:color w:val="000000" w:themeColor="text1"/>
                <w:lang w:eastAsia="sk-SK"/>
              </w:rPr>
              <w:t>author</w:t>
            </w:r>
            <w:proofErr w:type="spellEnd"/>
            <w:r w:rsidR="49A67398" w:rsidRPr="372CC6AE">
              <w:rPr>
                <w:rFonts w:ascii="Calibri" w:eastAsia="Times New Roman" w:hAnsi="Calibri" w:cs="Times New Roman"/>
                <w:color w:val="000000" w:themeColor="text1"/>
                <w:lang w:eastAsia="sk-SK"/>
              </w:rPr>
              <w:t xml:space="preserve"> </w:t>
            </w:r>
            <w:proofErr w:type="spellStart"/>
            <w:r w:rsidR="49A67398" w:rsidRPr="372CC6AE">
              <w:rPr>
                <w:rFonts w:ascii="Calibri" w:eastAsia="Times New Roman" w:hAnsi="Calibri" w:cs="Times New Roman"/>
                <w:color w:val="000000" w:themeColor="text1"/>
                <w:lang w:eastAsia="sk-SK"/>
              </w:rPr>
              <w:t>was</w:t>
            </w:r>
            <w:proofErr w:type="spellEnd"/>
            <w:r w:rsidR="49A67398" w:rsidRPr="372CC6AE">
              <w:rPr>
                <w:rFonts w:ascii="Calibri" w:eastAsia="Times New Roman" w:hAnsi="Calibri" w:cs="Times New Roman"/>
                <w:color w:val="000000" w:themeColor="text1"/>
                <w:lang w:eastAsia="sk-SK"/>
              </w:rPr>
              <w:t xml:space="preserve"> </w:t>
            </w:r>
            <w:proofErr w:type="spellStart"/>
            <w:r w:rsidR="49A67398" w:rsidRPr="372CC6AE">
              <w:rPr>
                <w:rFonts w:ascii="Calibri" w:eastAsia="Times New Roman" w:hAnsi="Calibri" w:cs="Times New Roman"/>
                <w:color w:val="000000" w:themeColor="text1"/>
                <w:lang w:eastAsia="sk-SK"/>
              </w:rPr>
              <w:t>invited</w:t>
            </w:r>
            <w:proofErr w:type="spellEnd"/>
            <w:r w:rsidR="49A67398" w:rsidRPr="372CC6AE">
              <w:rPr>
                <w:rFonts w:ascii="Calibri" w:eastAsia="Times New Roman" w:hAnsi="Calibri" w:cs="Times New Roman"/>
                <w:color w:val="000000" w:themeColor="text1"/>
                <w:lang w:eastAsia="sk-SK"/>
              </w:rPr>
              <w:t xml:space="preserve"> to </w:t>
            </w:r>
            <w:proofErr w:type="spellStart"/>
            <w:r w:rsidR="49A67398" w:rsidRPr="372CC6AE">
              <w:rPr>
                <w:rFonts w:ascii="Calibri" w:eastAsia="Times New Roman" w:hAnsi="Calibri" w:cs="Times New Roman"/>
                <w:color w:val="000000" w:themeColor="text1"/>
                <w:lang w:eastAsia="sk-SK"/>
              </w:rPr>
              <w:t>participate</w:t>
            </w:r>
            <w:proofErr w:type="spellEnd"/>
            <w:r w:rsidR="49A67398" w:rsidRPr="372CC6AE">
              <w:rPr>
                <w:rFonts w:ascii="Calibri" w:eastAsia="Times New Roman" w:hAnsi="Calibri" w:cs="Times New Roman"/>
                <w:color w:val="000000" w:themeColor="text1"/>
                <w:lang w:eastAsia="sk-SK"/>
              </w:rPr>
              <w:t xml:space="preserve"> in </w:t>
            </w:r>
            <w:proofErr w:type="spellStart"/>
            <w:r w:rsidR="49A67398" w:rsidRPr="372CC6AE">
              <w:rPr>
                <w:rFonts w:ascii="Calibri" w:eastAsia="Times New Roman" w:hAnsi="Calibri" w:cs="Times New Roman"/>
                <w:color w:val="000000" w:themeColor="text1"/>
                <w:lang w:eastAsia="sk-SK"/>
              </w:rPr>
              <w:t>it</w:t>
            </w:r>
            <w:proofErr w:type="spellEnd"/>
            <w:r w:rsidR="49A67398" w:rsidRPr="372CC6AE">
              <w:rPr>
                <w:rFonts w:ascii="Calibri" w:eastAsia="Times New Roman" w:hAnsi="Calibri" w:cs="Times New Roman"/>
                <w:color w:val="000000" w:themeColor="text1"/>
                <w:lang w:eastAsia="sk-SK"/>
              </w:rPr>
              <w:t>.</w:t>
            </w:r>
          </w:p>
          <w:p w14:paraId="4C7BC8CA"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7CFF4012" w14:textId="77777777" w:rsidTr="799E527B">
        <w:trPr>
          <w:trHeight w:val="915"/>
        </w:trPr>
        <w:tc>
          <w:tcPr>
            <w:tcW w:w="160" w:type="dxa"/>
            <w:shd w:val="clear" w:color="auto" w:fill="auto"/>
            <w:vAlign w:val="bottom"/>
            <w:hideMark/>
          </w:tcPr>
          <w:p w14:paraId="0B28853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06" w:type="dxa"/>
            <w:gridSpan w:val="2"/>
            <w:shd w:val="clear" w:color="auto" w:fill="D9E1F2"/>
            <w:vAlign w:val="center"/>
            <w:hideMark/>
          </w:tcPr>
          <w:p w14:paraId="2C8C40C4" w14:textId="77777777" w:rsidR="00FF6B5A" w:rsidRPr="00FF6B5A" w:rsidRDefault="00AF4E67" w:rsidP="00532FE9">
            <w:pPr>
              <w:spacing w:after="0" w:line="240" w:lineRule="auto"/>
              <w:rPr>
                <w:rFonts w:ascii="Calibri" w:eastAsia="Times New Roman" w:hAnsi="Calibri" w:cs="Times New Roman"/>
                <w:lang w:eastAsia="sk-SK"/>
              </w:rPr>
            </w:pPr>
            <w:hyperlink r:id="rId24"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7413" w:type="dxa"/>
            <w:shd w:val="clear" w:color="auto" w:fill="auto"/>
            <w:hideMark/>
          </w:tcPr>
          <w:p w14:paraId="1B9D5D3F"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7F0EFCA5" w14:textId="449CD6C6" w:rsidR="00422600" w:rsidRPr="00FF6B5A" w:rsidRDefault="00BC418A" w:rsidP="00FF6B5A">
            <w:pPr>
              <w:spacing w:after="0" w:line="240" w:lineRule="auto"/>
              <w:rPr>
                <w:rFonts w:ascii="Calibri" w:eastAsia="Times New Roman" w:hAnsi="Calibri" w:cs="Times New Roman"/>
                <w:color w:val="000000"/>
                <w:lang w:eastAsia="sk-SK"/>
              </w:rPr>
            </w:pPr>
            <w:proofErr w:type="spellStart"/>
            <w:r w:rsidRPr="00BC418A">
              <w:rPr>
                <w:rFonts w:ascii="Calibri" w:eastAsia="Times New Roman" w:hAnsi="Calibri" w:cs="Times New Roman"/>
                <w:color w:val="000000"/>
                <w:lang w:eastAsia="sk-SK"/>
              </w:rPr>
              <w:t>The</w:t>
            </w:r>
            <w:proofErr w:type="spellEnd"/>
            <w:r w:rsidRPr="00BC418A">
              <w:rPr>
                <w:rFonts w:ascii="Calibri" w:eastAsia="Times New Roman" w:hAnsi="Calibri" w:cs="Times New Roman"/>
                <w:color w:val="000000"/>
                <w:lang w:eastAsia="sk-SK"/>
              </w:rPr>
              <w:t xml:space="preserve"> </w:t>
            </w:r>
            <w:proofErr w:type="spellStart"/>
            <w:r>
              <w:rPr>
                <w:rFonts w:ascii="Calibri" w:eastAsia="Times New Roman" w:hAnsi="Calibri" w:cs="Times New Roman"/>
                <w:color w:val="000000"/>
                <w:lang w:eastAsia="sk-SK"/>
              </w:rPr>
              <w:t>donatioj</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contract</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is</w:t>
            </w:r>
            <w:proofErr w:type="spellEnd"/>
            <w:r w:rsidRPr="00BC418A">
              <w:rPr>
                <w:rFonts w:ascii="Calibri" w:eastAsia="Times New Roman" w:hAnsi="Calibri" w:cs="Times New Roman"/>
                <w:color w:val="000000"/>
                <w:lang w:eastAsia="sk-SK"/>
              </w:rPr>
              <w:t xml:space="preserve"> a </w:t>
            </w:r>
            <w:proofErr w:type="spellStart"/>
            <w:r w:rsidRPr="00BC418A">
              <w:rPr>
                <w:rFonts w:ascii="Calibri" w:eastAsia="Times New Roman" w:hAnsi="Calibri" w:cs="Times New Roman"/>
                <w:color w:val="000000"/>
                <w:lang w:eastAsia="sk-SK"/>
              </w:rPr>
              <w:t>legal</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institute</w:t>
            </w:r>
            <w:proofErr w:type="spellEnd"/>
            <w:r w:rsidRPr="00BC418A">
              <w:rPr>
                <w:rFonts w:ascii="Calibri" w:eastAsia="Times New Roman" w:hAnsi="Calibri" w:cs="Times New Roman"/>
                <w:color w:val="000000"/>
                <w:lang w:eastAsia="sk-SK"/>
              </w:rPr>
              <w:t xml:space="preserve"> of </w:t>
            </w:r>
            <w:proofErr w:type="spellStart"/>
            <w:r w:rsidRPr="00BC418A">
              <w:rPr>
                <w:rFonts w:ascii="Calibri" w:eastAsia="Times New Roman" w:hAnsi="Calibri" w:cs="Times New Roman"/>
                <w:color w:val="000000"/>
                <w:lang w:eastAsia="sk-SK"/>
              </w:rPr>
              <w:t>private</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law</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that</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is</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often</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used</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but</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the</w:t>
            </w:r>
            <w:proofErr w:type="spellEnd"/>
            <w:r w:rsidRPr="00BC418A">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 xml:space="preserve">Slovak </w:t>
            </w:r>
            <w:proofErr w:type="spellStart"/>
            <w:r w:rsidRPr="00BC418A">
              <w:rPr>
                <w:rFonts w:ascii="Calibri" w:eastAsia="Times New Roman" w:hAnsi="Calibri" w:cs="Times New Roman"/>
                <w:color w:val="000000"/>
                <w:lang w:eastAsia="sk-SK"/>
              </w:rPr>
              <w:t>legislation</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does</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not</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reflect</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its</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importance</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This</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leaves</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all</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the</w:t>
            </w:r>
            <w:proofErr w:type="spellEnd"/>
            <w:r w:rsidRPr="00BC418A">
              <w:rPr>
                <w:rFonts w:ascii="Calibri" w:eastAsia="Times New Roman" w:hAnsi="Calibri" w:cs="Times New Roman"/>
                <w:color w:val="000000"/>
                <w:lang w:eastAsia="sk-SK"/>
              </w:rPr>
              <w:t xml:space="preserve"> more </w:t>
            </w:r>
            <w:proofErr w:type="spellStart"/>
            <w:r w:rsidRPr="00BC418A">
              <w:rPr>
                <w:rFonts w:ascii="Calibri" w:eastAsia="Times New Roman" w:hAnsi="Calibri" w:cs="Times New Roman"/>
                <w:color w:val="000000"/>
                <w:lang w:eastAsia="sk-SK"/>
              </w:rPr>
              <w:t>open</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unresolved</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questions</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that</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this</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scholarly</w:t>
            </w:r>
            <w:proofErr w:type="spellEnd"/>
            <w:r w:rsidRPr="00BC418A">
              <w:rPr>
                <w:rFonts w:ascii="Calibri" w:eastAsia="Times New Roman" w:hAnsi="Calibri" w:cs="Times New Roman"/>
                <w:color w:val="000000"/>
                <w:lang w:eastAsia="sk-SK"/>
              </w:rPr>
              <w:t xml:space="preserve"> output in </w:t>
            </w:r>
            <w:proofErr w:type="spellStart"/>
            <w:r w:rsidRPr="00BC418A">
              <w:rPr>
                <w:rFonts w:ascii="Calibri" w:eastAsia="Times New Roman" w:hAnsi="Calibri" w:cs="Times New Roman"/>
                <w:color w:val="000000"/>
                <w:lang w:eastAsia="sk-SK"/>
              </w:rPr>
              <w:t>the</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form</w:t>
            </w:r>
            <w:proofErr w:type="spellEnd"/>
            <w:r w:rsidRPr="00BC418A">
              <w:rPr>
                <w:rFonts w:ascii="Calibri" w:eastAsia="Times New Roman" w:hAnsi="Calibri" w:cs="Times New Roman"/>
                <w:color w:val="000000"/>
                <w:lang w:eastAsia="sk-SK"/>
              </w:rPr>
              <w:t xml:space="preserve"> of a </w:t>
            </w:r>
            <w:proofErr w:type="spellStart"/>
            <w:r w:rsidRPr="00BC418A">
              <w:rPr>
                <w:rFonts w:ascii="Calibri" w:eastAsia="Times New Roman" w:hAnsi="Calibri" w:cs="Times New Roman"/>
                <w:color w:val="000000"/>
                <w:lang w:eastAsia="sk-SK"/>
              </w:rPr>
              <w:t>scientific</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commentary</w:t>
            </w:r>
            <w:proofErr w:type="spellEnd"/>
            <w:r w:rsidRPr="00BC418A">
              <w:rPr>
                <w:rFonts w:ascii="Calibri" w:eastAsia="Times New Roman" w:hAnsi="Calibri" w:cs="Times New Roman"/>
                <w:color w:val="000000"/>
                <w:lang w:eastAsia="sk-SK"/>
              </w:rPr>
              <w:t xml:space="preserve"> has to </w:t>
            </w:r>
            <w:proofErr w:type="spellStart"/>
            <w:r w:rsidRPr="00BC418A">
              <w:rPr>
                <w:rFonts w:ascii="Calibri" w:eastAsia="Times New Roman" w:hAnsi="Calibri" w:cs="Times New Roman"/>
                <w:color w:val="000000"/>
                <w:lang w:eastAsia="sk-SK"/>
              </w:rPr>
              <w:t>deal</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with</w:t>
            </w:r>
            <w:proofErr w:type="spellEnd"/>
            <w:r w:rsidRPr="00BC418A">
              <w:rPr>
                <w:rFonts w:ascii="Calibri" w:eastAsia="Times New Roman" w:hAnsi="Calibri" w:cs="Times New Roman"/>
                <w:color w:val="000000"/>
                <w:lang w:eastAsia="sk-SK"/>
              </w:rPr>
              <w:t xml:space="preserve">, at </w:t>
            </w:r>
            <w:proofErr w:type="spellStart"/>
            <w:r w:rsidRPr="00BC418A">
              <w:rPr>
                <w:rFonts w:ascii="Calibri" w:eastAsia="Times New Roman" w:hAnsi="Calibri" w:cs="Times New Roman"/>
                <w:color w:val="000000"/>
                <w:lang w:eastAsia="sk-SK"/>
              </w:rPr>
              <w:t>the</w:t>
            </w:r>
            <w:proofErr w:type="spellEnd"/>
            <w:r w:rsidRPr="00BC418A">
              <w:rPr>
                <w:rFonts w:ascii="Calibri" w:eastAsia="Times New Roman" w:hAnsi="Calibri" w:cs="Times New Roman"/>
                <w:color w:val="000000"/>
                <w:lang w:eastAsia="sk-SK"/>
              </w:rPr>
              <w:t xml:space="preserve"> level, </w:t>
            </w:r>
            <w:proofErr w:type="spellStart"/>
            <w:r w:rsidRPr="00BC418A">
              <w:rPr>
                <w:rFonts w:ascii="Calibri" w:eastAsia="Times New Roman" w:hAnsi="Calibri" w:cs="Times New Roman"/>
                <w:color w:val="000000"/>
                <w:lang w:eastAsia="sk-SK"/>
              </w:rPr>
              <w:t>theoretical</w:t>
            </w:r>
            <w:proofErr w:type="spellEnd"/>
            <w:r w:rsidRPr="00BC418A">
              <w:rPr>
                <w:rFonts w:ascii="Calibri" w:eastAsia="Times New Roman" w:hAnsi="Calibri" w:cs="Times New Roman"/>
                <w:color w:val="000000"/>
                <w:lang w:eastAsia="sk-SK"/>
              </w:rPr>
              <w:t xml:space="preserve">, </w:t>
            </w:r>
            <w:proofErr w:type="spellStart"/>
            <w:r w:rsidRPr="00BC418A">
              <w:rPr>
                <w:rFonts w:ascii="Calibri" w:eastAsia="Times New Roman" w:hAnsi="Calibri" w:cs="Times New Roman"/>
                <w:color w:val="000000"/>
                <w:lang w:eastAsia="sk-SK"/>
              </w:rPr>
              <w:t>historical</w:t>
            </w:r>
            <w:proofErr w:type="spellEnd"/>
            <w:r w:rsidRPr="00BC418A">
              <w:rPr>
                <w:rFonts w:ascii="Calibri" w:eastAsia="Times New Roman" w:hAnsi="Calibri" w:cs="Times New Roman"/>
                <w:color w:val="000000"/>
                <w:lang w:eastAsia="sk-SK"/>
              </w:rPr>
              <w:t xml:space="preserve"> and </w:t>
            </w:r>
            <w:proofErr w:type="spellStart"/>
            <w:r w:rsidRPr="00BC418A">
              <w:rPr>
                <w:rFonts w:ascii="Calibri" w:eastAsia="Times New Roman" w:hAnsi="Calibri" w:cs="Times New Roman"/>
                <w:color w:val="000000"/>
                <w:lang w:eastAsia="sk-SK"/>
              </w:rPr>
              <w:t>comparative</w:t>
            </w:r>
            <w:proofErr w:type="spellEnd"/>
            <w:r>
              <w:rPr>
                <w:rFonts w:ascii="Calibri" w:eastAsia="Times New Roman" w:hAnsi="Calibri" w:cs="Times New Roman"/>
                <w:color w:val="000000"/>
                <w:lang w:eastAsia="sk-SK"/>
              </w:rPr>
              <w:t>.</w:t>
            </w:r>
          </w:p>
        </w:tc>
      </w:tr>
      <w:tr w:rsidR="00FF6B5A" w:rsidRPr="00FF6B5A" w14:paraId="478BE4C7" w14:textId="77777777" w:rsidTr="799E527B">
        <w:trPr>
          <w:trHeight w:val="810"/>
        </w:trPr>
        <w:tc>
          <w:tcPr>
            <w:tcW w:w="160" w:type="dxa"/>
            <w:shd w:val="clear" w:color="auto" w:fill="auto"/>
            <w:vAlign w:val="bottom"/>
            <w:hideMark/>
          </w:tcPr>
          <w:p w14:paraId="6749F5B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06" w:type="dxa"/>
            <w:gridSpan w:val="2"/>
            <w:shd w:val="clear" w:color="auto" w:fill="DAE3F3"/>
            <w:vAlign w:val="center"/>
            <w:hideMark/>
          </w:tcPr>
          <w:p w14:paraId="1B652F9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7413" w:type="dxa"/>
            <w:shd w:val="clear" w:color="auto" w:fill="auto"/>
            <w:hideMark/>
          </w:tcPr>
          <w:p w14:paraId="13DFD58E"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5359DDF1" w14:textId="69820A5F" w:rsidR="00DB1F1D" w:rsidRDefault="00DB1F1D" w:rsidP="00DB1F1D">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1. </w:t>
            </w:r>
            <w:r w:rsidRPr="00DB1F1D">
              <w:rPr>
                <w:rFonts w:ascii="Calibri" w:eastAsia="Times New Roman" w:hAnsi="Calibri" w:cs="Times New Roman"/>
                <w:color w:val="000000"/>
                <w:lang w:eastAsia="sk-SK"/>
              </w:rPr>
              <w:t xml:space="preserve">175838: Spor o platnosť právneho úkonu a zápis do katastra nehnuteľností / </w:t>
            </w:r>
            <w:proofErr w:type="spellStart"/>
            <w:r w:rsidRPr="00DB1F1D">
              <w:rPr>
                <w:rFonts w:ascii="Calibri" w:eastAsia="Times New Roman" w:hAnsi="Calibri" w:cs="Times New Roman"/>
                <w:color w:val="000000"/>
                <w:lang w:eastAsia="sk-SK"/>
              </w:rPr>
              <w:t>Jakubáč</w:t>
            </w:r>
            <w:proofErr w:type="spellEnd"/>
            <w:r w:rsidRPr="00DB1F1D">
              <w:rPr>
                <w:rFonts w:ascii="Calibri" w:eastAsia="Times New Roman" w:hAnsi="Calibri" w:cs="Times New Roman"/>
                <w:color w:val="000000"/>
                <w:lang w:eastAsia="sk-SK"/>
              </w:rPr>
              <w:t>, Róbert [Autor] </w:t>
            </w:r>
            <w:r w:rsidRPr="00DB1F1D">
              <w:rPr>
                <w:rFonts w:ascii="Calibri" w:eastAsia="Times New Roman" w:hAnsi="Calibri" w:cs="Times New Roman"/>
                <w:color w:val="000000"/>
                <w:lang w:eastAsia="sk-SK"/>
              </w:rPr>
              <w:br/>
            </w:r>
            <w:r w:rsidRPr="00DB1F1D">
              <w:rPr>
                <w:rFonts w:ascii="Calibri" w:eastAsia="Times New Roman" w:hAnsi="Calibri" w:cs="Times New Roman"/>
                <w:b/>
                <w:bCs/>
                <w:color w:val="000000"/>
                <w:lang w:eastAsia="sk-SK"/>
              </w:rPr>
              <w:t>In:</w:t>
            </w:r>
            <w:r w:rsidRPr="00DB1F1D">
              <w:rPr>
                <w:rFonts w:ascii="Calibri" w:eastAsia="Times New Roman" w:hAnsi="Calibri" w:cs="Times New Roman"/>
                <w:color w:val="000000"/>
                <w:lang w:eastAsia="sk-SK"/>
              </w:rPr>
              <w:t> </w:t>
            </w:r>
            <w:r w:rsidRPr="00DB1F1D">
              <w:rPr>
                <w:rFonts w:ascii="Calibri" w:eastAsia="Times New Roman" w:hAnsi="Calibri" w:cs="Times New Roman"/>
                <w:i/>
                <w:iCs/>
                <w:color w:val="000000"/>
                <w:lang w:eastAsia="sk-SK"/>
              </w:rPr>
              <w:t>Súkromné právo</w:t>
            </w:r>
            <w:r w:rsidRPr="00DB1F1D">
              <w:rPr>
                <w:rFonts w:ascii="Calibri" w:eastAsia="Times New Roman" w:hAnsi="Calibri" w:cs="Times New Roman"/>
                <w:color w:val="000000"/>
                <w:lang w:eastAsia="sk-SK"/>
              </w:rPr>
              <w:t> [textový dokument (</w:t>
            </w:r>
            <w:proofErr w:type="spellStart"/>
            <w:r w:rsidRPr="00DB1F1D">
              <w:rPr>
                <w:rFonts w:ascii="Calibri" w:eastAsia="Times New Roman" w:hAnsi="Calibri" w:cs="Times New Roman"/>
                <w:color w:val="000000"/>
                <w:lang w:eastAsia="sk-SK"/>
              </w:rPr>
              <w:t>print</w:t>
            </w:r>
            <w:proofErr w:type="spellEnd"/>
            <w:r w:rsidRPr="00DB1F1D">
              <w:rPr>
                <w:rFonts w:ascii="Calibri" w:eastAsia="Times New Roman" w:hAnsi="Calibri" w:cs="Times New Roman"/>
                <w:color w:val="000000"/>
                <w:lang w:eastAsia="sk-SK"/>
              </w:rPr>
              <w:t xml:space="preserve">)] : recenzovaný časopis zameraný na otázky aplikačnej praxe. – Bratislava (Slovensko) : </w:t>
            </w:r>
            <w:proofErr w:type="spellStart"/>
            <w:r w:rsidRPr="00DB1F1D">
              <w:rPr>
                <w:rFonts w:ascii="Calibri" w:eastAsia="Times New Roman" w:hAnsi="Calibri" w:cs="Times New Roman"/>
                <w:color w:val="000000"/>
                <w:lang w:eastAsia="sk-SK"/>
              </w:rPr>
              <w:t>Wolters</w:t>
            </w:r>
            <w:proofErr w:type="spellEnd"/>
            <w:r w:rsidRPr="00DB1F1D">
              <w:rPr>
                <w:rFonts w:ascii="Calibri" w:eastAsia="Times New Roman" w:hAnsi="Calibri" w:cs="Times New Roman"/>
                <w:color w:val="000000"/>
                <w:lang w:eastAsia="sk-SK"/>
              </w:rPr>
              <w:t xml:space="preserve"> </w:t>
            </w:r>
            <w:proofErr w:type="spellStart"/>
            <w:r w:rsidRPr="00DB1F1D">
              <w:rPr>
                <w:rFonts w:ascii="Calibri" w:eastAsia="Times New Roman" w:hAnsi="Calibri" w:cs="Times New Roman"/>
                <w:color w:val="000000"/>
                <w:lang w:eastAsia="sk-SK"/>
              </w:rPr>
              <w:t>Kluwer</w:t>
            </w:r>
            <w:proofErr w:type="spellEnd"/>
            <w:r w:rsidRPr="00DB1F1D">
              <w:rPr>
                <w:rFonts w:ascii="Calibri" w:eastAsia="Times New Roman" w:hAnsi="Calibri" w:cs="Times New Roman"/>
                <w:color w:val="000000"/>
                <w:lang w:eastAsia="sk-SK"/>
              </w:rPr>
              <w:t>. – ISSN 1339-8652. – ISSN (online) 2453-6504. – TUTPR signatúra E051890. – Roč. 5, č. 3 (2019), s. 94-99 [tlačená forma]</w:t>
            </w:r>
          </w:p>
          <w:p w14:paraId="4BAE50E0" w14:textId="77777777" w:rsidR="00DB1F1D" w:rsidRPr="00DB1F1D" w:rsidRDefault="00DB1F1D" w:rsidP="00DB1F1D">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2. </w:t>
            </w:r>
            <w:r w:rsidRPr="00DB1F1D">
              <w:rPr>
                <w:rFonts w:ascii="Calibri" w:eastAsia="Times New Roman" w:hAnsi="Calibri" w:cs="Times New Roman"/>
                <w:color w:val="000000"/>
                <w:lang w:eastAsia="sk-SK"/>
              </w:rPr>
              <w:t xml:space="preserve">120644: Ex </w:t>
            </w:r>
            <w:proofErr w:type="spellStart"/>
            <w:r w:rsidRPr="00DB1F1D">
              <w:rPr>
                <w:rFonts w:ascii="Calibri" w:eastAsia="Times New Roman" w:hAnsi="Calibri" w:cs="Times New Roman"/>
                <w:color w:val="000000"/>
                <w:lang w:eastAsia="sk-SK"/>
              </w:rPr>
              <w:t>tunc</w:t>
            </w:r>
            <w:proofErr w:type="spellEnd"/>
            <w:r w:rsidRPr="00DB1F1D">
              <w:rPr>
                <w:rFonts w:ascii="Calibri" w:eastAsia="Times New Roman" w:hAnsi="Calibri" w:cs="Times New Roman"/>
                <w:color w:val="000000"/>
                <w:lang w:eastAsia="sk-SK"/>
              </w:rPr>
              <w:t xml:space="preserve"> </w:t>
            </w:r>
            <w:proofErr w:type="spellStart"/>
            <w:r w:rsidRPr="00DB1F1D">
              <w:rPr>
                <w:rFonts w:ascii="Calibri" w:eastAsia="Times New Roman" w:hAnsi="Calibri" w:cs="Times New Roman"/>
                <w:color w:val="000000"/>
                <w:lang w:eastAsia="sk-SK"/>
              </w:rPr>
              <w:t>vs</w:t>
            </w:r>
            <w:proofErr w:type="spellEnd"/>
            <w:r w:rsidRPr="00DB1F1D">
              <w:rPr>
                <w:rFonts w:ascii="Calibri" w:eastAsia="Times New Roman" w:hAnsi="Calibri" w:cs="Times New Roman"/>
                <w:color w:val="000000"/>
                <w:lang w:eastAsia="sk-SK"/>
              </w:rPr>
              <w:t xml:space="preserve">. ex </w:t>
            </w:r>
            <w:proofErr w:type="spellStart"/>
            <w:r w:rsidRPr="00DB1F1D">
              <w:rPr>
                <w:rFonts w:ascii="Calibri" w:eastAsia="Times New Roman" w:hAnsi="Calibri" w:cs="Times New Roman"/>
                <w:color w:val="000000"/>
                <w:lang w:eastAsia="sk-SK"/>
              </w:rPr>
              <w:t>nunc</w:t>
            </w:r>
            <w:proofErr w:type="spellEnd"/>
            <w:r w:rsidRPr="00DB1F1D">
              <w:rPr>
                <w:rFonts w:ascii="Calibri" w:eastAsia="Times New Roman" w:hAnsi="Calibri" w:cs="Times New Roman"/>
                <w:color w:val="000000"/>
                <w:lang w:eastAsia="sk-SK"/>
              </w:rPr>
              <w:t xml:space="preserve"> účinok odstúpenia od neplatnosti - naozaj taký veľký rozdiel? = Ex </w:t>
            </w:r>
            <w:proofErr w:type="spellStart"/>
            <w:r w:rsidRPr="00DB1F1D">
              <w:rPr>
                <w:rFonts w:ascii="Calibri" w:eastAsia="Times New Roman" w:hAnsi="Calibri" w:cs="Times New Roman"/>
                <w:color w:val="000000"/>
                <w:lang w:eastAsia="sk-SK"/>
              </w:rPr>
              <w:t>tunc</w:t>
            </w:r>
            <w:proofErr w:type="spellEnd"/>
            <w:r w:rsidRPr="00DB1F1D">
              <w:rPr>
                <w:rFonts w:ascii="Calibri" w:eastAsia="Times New Roman" w:hAnsi="Calibri" w:cs="Times New Roman"/>
                <w:color w:val="000000"/>
                <w:lang w:eastAsia="sk-SK"/>
              </w:rPr>
              <w:t xml:space="preserve"> </w:t>
            </w:r>
            <w:proofErr w:type="spellStart"/>
            <w:r w:rsidRPr="00DB1F1D">
              <w:rPr>
                <w:rFonts w:ascii="Calibri" w:eastAsia="Times New Roman" w:hAnsi="Calibri" w:cs="Times New Roman"/>
                <w:color w:val="000000"/>
                <w:lang w:eastAsia="sk-SK"/>
              </w:rPr>
              <w:t>vs</w:t>
            </w:r>
            <w:proofErr w:type="spellEnd"/>
            <w:r w:rsidRPr="00DB1F1D">
              <w:rPr>
                <w:rFonts w:ascii="Calibri" w:eastAsia="Times New Roman" w:hAnsi="Calibri" w:cs="Times New Roman"/>
                <w:color w:val="000000"/>
                <w:lang w:eastAsia="sk-SK"/>
              </w:rPr>
              <w:t xml:space="preserve">. ex </w:t>
            </w:r>
            <w:proofErr w:type="spellStart"/>
            <w:r w:rsidRPr="00DB1F1D">
              <w:rPr>
                <w:rFonts w:ascii="Calibri" w:eastAsia="Times New Roman" w:hAnsi="Calibri" w:cs="Times New Roman"/>
                <w:color w:val="000000"/>
                <w:lang w:eastAsia="sk-SK"/>
              </w:rPr>
              <w:t>nunc</w:t>
            </w:r>
            <w:proofErr w:type="spellEnd"/>
            <w:r w:rsidRPr="00DB1F1D">
              <w:rPr>
                <w:rFonts w:ascii="Calibri" w:eastAsia="Times New Roman" w:hAnsi="Calibri" w:cs="Times New Roman"/>
                <w:color w:val="000000"/>
                <w:lang w:eastAsia="sk-SK"/>
              </w:rPr>
              <w:t xml:space="preserve"> </w:t>
            </w:r>
            <w:proofErr w:type="spellStart"/>
            <w:r w:rsidRPr="00DB1F1D">
              <w:rPr>
                <w:rFonts w:ascii="Calibri" w:eastAsia="Times New Roman" w:hAnsi="Calibri" w:cs="Times New Roman"/>
                <w:color w:val="000000"/>
                <w:lang w:eastAsia="sk-SK"/>
              </w:rPr>
              <w:t>effect</w:t>
            </w:r>
            <w:proofErr w:type="spellEnd"/>
            <w:r w:rsidRPr="00DB1F1D">
              <w:rPr>
                <w:rFonts w:ascii="Calibri" w:eastAsia="Times New Roman" w:hAnsi="Calibri" w:cs="Times New Roman"/>
                <w:color w:val="000000"/>
                <w:lang w:eastAsia="sk-SK"/>
              </w:rPr>
              <w:t xml:space="preserve"> of </w:t>
            </w:r>
            <w:proofErr w:type="spellStart"/>
            <w:r w:rsidRPr="00DB1F1D">
              <w:rPr>
                <w:rFonts w:ascii="Calibri" w:eastAsia="Times New Roman" w:hAnsi="Calibri" w:cs="Times New Roman"/>
                <w:color w:val="000000"/>
                <w:lang w:eastAsia="sk-SK"/>
              </w:rPr>
              <w:t>termination</w:t>
            </w:r>
            <w:proofErr w:type="spellEnd"/>
            <w:r w:rsidRPr="00DB1F1D">
              <w:rPr>
                <w:rFonts w:ascii="Calibri" w:eastAsia="Times New Roman" w:hAnsi="Calibri" w:cs="Times New Roman"/>
                <w:color w:val="000000"/>
                <w:lang w:eastAsia="sk-SK"/>
              </w:rPr>
              <w:t xml:space="preserve"> and invalidity - </w:t>
            </w:r>
            <w:proofErr w:type="spellStart"/>
            <w:r w:rsidRPr="00DB1F1D">
              <w:rPr>
                <w:rFonts w:ascii="Calibri" w:eastAsia="Times New Roman" w:hAnsi="Calibri" w:cs="Times New Roman"/>
                <w:color w:val="000000"/>
                <w:lang w:eastAsia="sk-SK"/>
              </w:rPr>
              <w:t>such</w:t>
            </w:r>
            <w:proofErr w:type="spellEnd"/>
            <w:r w:rsidRPr="00DB1F1D">
              <w:rPr>
                <w:rFonts w:ascii="Calibri" w:eastAsia="Times New Roman" w:hAnsi="Calibri" w:cs="Times New Roman"/>
                <w:color w:val="000000"/>
                <w:lang w:eastAsia="sk-SK"/>
              </w:rPr>
              <w:t xml:space="preserve"> a big </w:t>
            </w:r>
            <w:proofErr w:type="spellStart"/>
            <w:r w:rsidRPr="00DB1F1D">
              <w:rPr>
                <w:rFonts w:ascii="Calibri" w:eastAsia="Times New Roman" w:hAnsi="Calibri" w:cs="Times New Roman"/>
                <w:color w:val="000000"/>
                <w:lang w:eastAsia="sk-SK"/>
              </w:rPr>
              <w:t>difference</w:t>
            </w:r>
            <w:proofErr w:type="spellEnd"/>
            <w:r w:rsidRPr="00DB1F1D">
              <w:rPr>
                <w:rFonts w:ascii="Calibri" w:eastAsia="Times New Roman" w:hAnsi="Calibri" w:cs="Times New Roman"/>
                <w:color w:val="000000"/>
                <w:lang w:eastAsia="sk-SK"/>
              </w:rPr>
              <w:t xml:space="preserve">? / </w:t>
            </w:r>
            <w:proofErr w:type="spellStart"/>
            <w:r w:rsidRPr="00DB1F1D">
              <w:rPr>
                <w:rFonts w:ascii="Calibri" w:eastAsia="Times New Roman" w:hAnsi="Calibri" w:cs="Times New Roman"/>
                <w:color w:val="000000"/>
                <w:lang w:eastAsia="sk-SK"/>
              </w:rPr>
              <w:t>Trojčáková</w:t>
            </w:r>
            <w:proofErr w:type="spellEnd"/>
            <w:r w:rsidRPr="00DB1F1D">
              <w:rPr>
                <w:rFonts w:ascii="Calibri" w:eastAsia="Times New Roman" w:hAnsi="Calibri" w:cs="Times New Roman"/>
                <w:color w:val="000000"/>
                <w:lang w:eastAsia="sk-SK"/>
              </w:rPr>
              <w:t>, Veronika [Autor, 100%]. – [recenzované] </w:t>
            </w:r>
            <w:r w:rsidRPr="00DB1F1D">
              <w:rPr>
                <w:rFonts w:ascii="Calibri" w:eastAsia="Times New Roman" w:hAnsi="Calibri" w:cs="Times New Roman"/>
                <w:color w:val="000000"/>
                <w:lang w:eastAsia="sk-SK"/>
              </w:rPr>
              <w:br/>
            </w:r>
            <w:r w:rsidRPr="00DB1F1D">
              <w:rPr>
                <w:rFonts w:ascii="Calibri" w:eastAsia="Times New Roman" w:hAnsi="Calibri" w:cs="Times New Roman"/>
                <w:b/>
                <w:bCs/>
                <w:color w:val="000000"/>
                <w:lang w:eastAsia="sk-SK"/>
              </w:rPr>
              <w:t>In:</w:t>
            </w:r>
            <w:r w:rsidRPr="00DB1F1D">
              <w:rPr>
                <w:rFonts w:ascii="Calibri" w:eastAsia="Times New Roman" w:hAnsi="Calibri" w:cs="Times New Roman"/>
                <w:color w:val="000000"/>
                <w:lang w:eastAsia="sk-SK"/>
              </w:rPr>
              <w:t> </w:t>
            </w:r>
            <w:r w:rsidRPr="00DB1F1D">
              <w:rPr>
                <w:rFonts w:ascii="Calibri" w:eastAsia="Times New Roman" w:hAnsi="Calibri" w:cs="Times New Roman"/>
                <w:i/>
                <w:iCs/>
                <w:color w:val="000000"/>
                <w:lang w:eastAsia="sk-SK"/>
              </w:rPr>
              <w:t>Právny obzor</w:t>
            </w:r>
            <w:r w:rsidRPr="00DB1F1D">
              <w:rPr>
                <w:rFonts w:ascii="Calibri" w:eastAsia="Times New Roman" w:hAnsi="Calibri" w:cs="Times New Roman"/>
                <w:color w:val="000000"/>
                <w:lang w:eastAsia="sk-SK"/>
              </w:rPr>
              <w:t> [textový dokument (</w:t>
            </w:r>
            <w:proofErr w:type="spellStart"/>
            <w:r w:rsidRPr="00DB1F1D">
              <w:rPr>
                <w:rFonts w:ascii="Calibri" w:eastAsia="Times New Roman" w:hAnsi="Calibri" w:cs="Times New Roman"/>
                <w:color w:val="000000"/>
                <w:lang w:eastAsia="sk-SK"/>
              </w:rPr>
              <w:t>print</w:t>
            </w:r>
            <w:proofErr w:type="spellEnd"/>
            <w:r w:rsidRPr="00DB1F1D">
              <w:rPr>
                <w:rFonts w:ascii="Calibri" w:eastAsia="Times New Roman" w:hAnsi="Calibri" w:cs="Times New Roman"/>
                <w:color w:val="000000"/>
                <w:lang w:eastAsia="sk-SK"/>
              </w:rPr>
              <w:t>)] : teoretický časopis pre otázky štátu a práva. – Bratislava (Slovensko) : Slovenská akadémia vied. Pracoviská SAV. Ústav štátu a práva SAV. – ISSN 0032-6984. – TUTPR signatúra E003589. – Roč. 102, č. 2 (2019), s. 131-154 [tlačená forma]</w:t>
            </w:r>
          </w:p>
          <w:p w14:paraId="3CD4C923" w14:textId="79618819" w:rsidR="00DB1F1D" w:rsidRPr="00DB1F1D" w:rsidRDefault="00DB1F1D" w:rsidP="00DB1F1D">
            <w:pPr>
              <w:spacing w:after="0" w:line="240" w:lineRule="auto"/>
              <w:rPr>
                <w:rFonts w:ascii="Calibri" w:eastAsia="Times New Roman" w:hAnsi="Calibri" w:cs="Times New Roman"/>
                <w:color w:val="000000"/>
                <w:lang w:eastAsia="sk-SK"/>
              </w:rPr>
            </w:pPr>
          </w:p>
          <w:p w14:paraId="0D105B51"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47FE52C1" w14:textId="77777777" w:rsidTr="799E527B">
        <w:trPr>
          <w:trHeight w:val="1170"/>
        </w:trPr>
        <w:tc>
          <w:tcPr>
            <w:tcW w:w="160" w:type="dxa"/>
            <w:shd w:val="clear" w:color="auto" w:fill="auto"/>
            <w:vAlign w:val="bottom"/>
            <w:hideMark/>
          </w:tcPr>
          <w:p w14:paraId="5CD4828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06" w:type="dxa"/>
            <w:gridSpan w:val="2"/>
            <w:shd w:val="clear" w:color="auto" w:fill="DAE3F3"/>
            <w:vAlign w:val="center"/>
            <w:hideMark/>
          </w:tcPr>
          <w:p w14:paraId="5FA065E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7413" w:type="dxa"/>
            <w:shd w:val="clear" w:color="auto" w:fill="auto"/>
            <w:hideMark/>
          </w:tcPr>
          <w:p w14:paraId="291CC8B1" w14:textId="178BBFF9" w:rsidR="00FF6B5A" w:rsidRDefault="00FF6B5A" w:rsidP="00FF6B5A">
            <w:pPr>
              <w:spacing w:after="0" w:line="240" w:lineRule="auto"/>
              <w:rPr>
                <w:rFonts w:ascii="Calibri" w:eastAsia="Times New Roman" w:hAnsi="Calibri" w:cs="Times New Roman"/>
                <w:color w:val="000000"/>
                <w:lang w:eastAsia="sk-SK"/>
              </w:rPr>
            </w:pPr>
            <w:r w:rsidRPr="0774768B">
              <w:rPr>
                <w:rFonts w:ascii="Calibri" w:eastAsia="Times New Roman" w:hAnsi="Calibri" w:cs="Times New Roman"/>
                <w:color w:val="000000" w:themeColor="text1"/>
                <w:lang w:eastAsia="sk-SK"/>
              </w:rPr>
              <w:t> </w:t>
            </w:r>
            <w:r w:rsidR="00213D84" w:rsidRPr="0774768B">
              <w:rPr>
                <w:rFonts w:ascii="Calibri" w:eastAsia="Times New Roman" w:hAnsi="Calibri" w:cs="Times New Roman"/>
                <w:color w:val="000000" w:themeColor="text1"/>
                <w:lang w:eastAsia="sk-SK"/>
              </w:rPr>
              <w:t>Darovanie je častým právnym úkonom a hoci uzavretie darovacej  zmluvy  obvykle prebieha v atmosfére žičlivosti a signifikantná je v</w:t>
            </w:r>
            <w:r w:rsidR="0C7A2B50" w:rsidRPr="0774768B">
              <w:rPr>
                <w:rFonts w:ascii="Calibri" w:eastAsia="Times New Roman" w:hAnsi="Calibri" w:cs="Times New Roman"/>
                <w:color w:val="000000" w:themeColor="text1"/>
                <w:lang w:eastAsia="sk-SK"/>
              </w:rPr>
              <w:t>ô</w:t>
            </w:r>
            <w:r w:rsidR="00213D84" w:rsidRPr="0774768B">
              <w:rPr>
                <w:rFonts w:ascii="Calibri" w:eastAsia="Times New Roman" w:hAnsi="Calibri" w:cs="Times New Roman"/>
                <w:color w:val="000000" w:themeColor="text1"/>
                <w:lang w:eastAsia="sk-SK"/>
              </w:rPr>
              <w:t>ľa obdarovať a bezodplatnosť,. najmä vo vzťahu k darovaniu nehnuteľností sa treba vyrovnať s formálnym požiadavkami  a  zápismi do katastra . Ak vzniknú problémy v spoločensko-hospodárskej praxi darovania , najmä v spojitosťami s účinkami odvolania darovania, neplatnosťou darovania, judikatúra, teória a komparatívne exkurzy v komentári sú významným prvkom ako sa s problémami vyrovnať.</w:t>
            </w:r>
          </w:p>
          <w:p w14:paraId="7C083946" w14:textId="58A8717E" w:rsidR="00213D84" w:rsidRDefault="00213D84" w:rsidP="00FF6B5A">
            <w:pPr>
              <w:spacing w:after="0" w:line="240" w:lineRule="auto"/>
              <w:rPr>
                <w:rFonts w:ascii="Calibri" w:eastAsia="Times New Roman" w:hAnsi="Calibri" w:cs="Times New Roman"/>
                <w:color w:val="000000"/>
                <w:lang w:eastAsia="sk-SK"/>
              </w:rPr>
            </w:pPr>
            <w:proofErr w:type="spellStart"/>
            <w:r w:rsidRPr="00213D84">
              <w:rPr>
                <w:rFonts w:ascii="Calibri" w:eastAsia="Times New Roman" w:hAnsi="Calibri" w:cs="Times New Roman"/>
                <w:color w:val="000000"/>
                <w:lang w:eastAsia="sk-SK"/>
              </w:rPr>
              <w:t>Donation</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is</w:t>
            </w:r>
            <w:proofErr w:type="spellEnd"/>
            <w:r w:rsidRPr="00213D84">
              <w:rPr>
                <w:rFonts w:ascii="Calibri" w:eastAsia="Times New Roman" w:hAnsi="Calibri" w:cs="Times New Roman"/>
                <w:color w:val="000000"/>
                <w:lang w:eastAsia="sk-SK"/>
              </w:rPr>
              <w:t xml:space="preserve"> a </w:t>
            </w:r>
            <w:proofErr w:type="spellStart"/>
            <w:r w:rsidRPr="00213D84">
              <w:rPr>
                <w:rFonts w:ascii="Calibri" w:eastAsia="Times New Roman" w:hAnsi="Calibri" w:cs="Times New Roman"/>
                <w:color w:val="000000"/>
                <w:lang w:eastAsia="sk-SK"/>
              </w:rPr>
              <w:t>frequent</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legal</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act</w:t>
            </w:r>
            <w:proofErr w:type="spellEnd"/>
            <w:r w:rsidRPr="00213D84">
              <w:rPr>
                <w:rFonts w:ascii="Calibri" w:eastAsia="Times New Roman" w:hAnsi="Calibri" w:cs="Times New Roman"/>
                <w:color w:val="000000"/>
                <w:lang w:eastAsia="sk-SK"/>
              </w:rPr>
              <w:t xml:space="preserve"> and </w:t>
            </w:r>
            <w:proofErr w:type="spellStart"/>
            <w:r w:rsidRPr="00213D84">
              <w:rPr>
                <w:rFonts w:ascii="Calibri" w:eastAsia="Times New Roman" w:hAnsi="Calibri" w:cs="Times New Roman"/>
                <w:color w:val="000000"/>
                <w:lang w:eastAsia="sk-SK"/>
              </w:rPr>
              <w:t>although</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the</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conclusion</w:t>
            </w:r>
            <w:proofErr w:type="spellEnd"/>
            <w:r w:rsidRPr="00213D84">
              <w:rPr>
                <w:rFonts w:ascii="Calibri" w:eastAsia="Times New Roman" w:hAnsi="Calibri" w:cs="Times New Roman"/>
                <w:color w:val="000000"/>
                <w:lang w:eastAsia="sk-SK"/>
              </w:rPr>
              <w:t xml:space="preserve"> of a </w:t>
            </w:r>
            <w:proofErr w:type="spellStart"/>
            <w:r w:rsidRPr="00213D84">
              <w:rPr>
                <w:rFonts w:ascii="Calibri" w:eastAsia="Times New Roman" w:hAnsi="Calibri" w:cs="Times New Roman"/>
                <w:color w:val="000000"/>
                <w:lang w:eastAsia="sk-SK"/>
              </w:rPr>
              <w:t>donation</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contract</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usually</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takes</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place</w:t>
            </w:r>
            <w:proofErr w:type="spellEnd"/>
            <w:r w:rsidRPr="00213D84">
              <w:rPr>
                <w:rFonts w:ascii="Calibri" w:eastAsia="Times New Roman" w:hAnsi="Calibri" w:cs="Times New Roman"/>
                <w:color w:val="000000"/>
                <w:lang w:eastAsia="sk-SK"/>
              </w:rPr>
              <w:t xml:space="preserve"> in </w:t>
            </w:r>
            <w:proofErr w:type="spellStart"/>
            <w:r w:rsidRPr="00213D84">
              <w:rPr>
                <w:rFonts w:ascii="Calibri" w:eastAsia="Times New Roman" w:hAnsi="Calibri" w:cs="Times New Roman"/>
                <w:color w:val="000000"/>
                <w:lang w:eastAsia="sk-SK"/>
              </w:rPr>
              <w:t>an</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atmosphere</w:t>
            </w:r>
            <w:proofErr w:type="spellEnd"/>
            <w:r w:rsidRPr="00213D84">
              <w:rPr>
                <w:rFonts w:ascii="Calibri" w:eastAsia="Times New Roman" w:hAnsi="Calibri" w:cs="Times New Roman"/>
                <w:color w:val="000000"/>
                <w:lang w:eastAsia="sk-SK"/>
              </w:rPr>
              <w:t xml:space="preserve"> of </w:t>
            </w:r>
            <w:proofErr w:type="spellStart"/>
            <w:r w:rsidRPr="00213D84">
              <w:rPr>
                <w:rFonts w:ascii="Calibri" w:eastAsia="Times New Roman" w:hAnsi="Calibri" w:cs="Times New Roman"/>
                <w:color w:val="000000"/>
                <w:lang w:eastAsia="sk-SK"/>
              </w:rPr>
              <w:t>generosity</w:t>
            </w:r>
            <w:proofErr w:type="spellEnd"/>
            <w:r w:rsidRPr="00213D84">
              <w:rPr>
                <w:rFonts w:ascii="Calibri" w:eastAsia="Times New Roman" w:hAnsi="Calibri" w:cs="Times New Roman"/>
                <w:color w:val="000000"/>
                <w:lang w:eastAsia="sk-SK"/>
              </w:rPr>
              <w:t xml:space="preserve"> and </w:t>
            </w:r>
            <w:proofErr w:type="spellStart"/>
            <w:r w:rsidRPr="00213D84">
              <w:rPr>
                <w:rFonts w:ascii="Calibri" w:eastAsia="Times New Roman" w:hAnsi="Calibri" w:cs="Times New Roman"/>
                <w:color w:val="000000"/>
                <w:lang w:eastAsia="sk-SK"/>
              </w:rPr>
              <w:t>significant</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is</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the</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will</w:t>
            </w:r>
            <w:proofErr w:type="spellEnd"/>
            <w:r w:rsidRPr="00213D84">
              <w:rPr>
                <w:rFonts w:ascii="Calibri" w:eastAsia="Times New Roman" w:hAnsi="Calibri" w:cs="Times New Roman"/>
                <w:color w:val="000000"/>
                <w:lang w:eastAsia="sk-SK"/>
              </w:rPr>
              <w:t xml:space="preserve"> to </w:t>
            </w:r>
            <w:proofErr w:type="spellStart"/>
            <w:r w:rsidRPr="00213D84">
              <w:rPr>
                <w:rFonts w:ascii="Calibri" w:eastAsia="Times New Roman" w:hAnsi="Calibri" w:cs="Times New Roman"/>
                <w:color w:val="000000"/>
                <w:lang w:eastAsia="sk-SK"/>
              </w:rPr>
              <w:t>donate</w:t>
            </w:r>
            <w:proofErr w:type="spellEnd"/>
            <w:r w:rsidRPr="00213D84">
              <w:rPr>
                <w:rFonts w:ascii="Calibri" w:eastAsia="Times New Roman" w:hAnsi="Calibri" w:cs="Times New Roman"/>
                <w:color w:val="000000"/>
                <w:lang w:eastAsia="sk-SK"/>
              </w:rPr>
              <w:t xml:space="preserve"> and </w:t>
            </w:r>
            <w:proofErr w:type="spellStart"/>
            <w:r w:rsidRPr="00213D84">
              <w:rPr>
                <w:rFonts w:ascii="Calibri" w:eastAsia="Times New Roman" w:hAnsi="Calibri" w:cs="Times New Roman"/>
                <w:color w:val="000000"/>
                <w:lang w:eastAsia="sk-SK"/>
              </w:rPr>
              <w:t>gratuitousness</w:t>
            </w:r>
            <w:proofErr w:type="spellEnd"/>
            <w:r w:rsidRPr="00213D84">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w:t>
            </w:r>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especially</w:t>
            </w:r>
            <w:proofErr w:type="spellEnd"/>
            <w:r w:rsidRPr="00213D84">
              <w:rPr>
                <w:rFonts w:ascii="Calibri" w:eastAsia="Times New Roman" w:hAnsi="Calibri" w:cs="Times New Roman"/>
                <w:color w:val="000000"/>
                <w:lang w:eastAsia="sk-SK"/>
              </w:rPr>
              <w:t xml:space="preserve"> in </w:t>
            </w:r>
            <w:proofErr w:type="spellStart"/>
            <w:r w:rsidRPr="00213D84">
              <w:rPr>
                <w:rFonts w:ascii="Calibri" w:eastAsia="Times New Roman" w:hAnsi="Calibri" w:cs="Times New Roman"/>
                <w:color w:val="000000"/>
                <w:lang w:eastAsia="sk-SK"/>
              </w:rPr>
              <w:t>relation</w:t>
            </w:r>
            <w:proofErr w:type="spellEnd"/>
            <w:r w:rsidRPr="00213D84">
              <w:rPr>
                <w:rFonts w:ascii="Calibri" w:eastAsia="Times New Roman" w:hAnsi="Calibri" w:cs="Times New Roman"/>
                <w:color w:val="000000"/>
                <w:lang w:eastAsia="sk-SK"/>
              </w:rPr>
              <w:t xml:space="preserve"> to </w:t>
            </w:r>
            <w:proofErr w:type="spellStart"/>
            <w:r w:rsidRPr="00213D84">
              <w:rPr>
                <w:rFonts w:ascii="Calibri" w:eastAsia="Times New Roman" w:hAnsi="Calibri" w:cs="Times New Roman"/>
                <w:color w:val="000000"/>
                <w:lang w:eastAsia="sk-SK"/>
              </w:rPr>
              <w:t>the</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donation</w:t>
            </w:r>
            <w:proofErr w:type="spellEnd"/>
            <w:r w:rsidRPr="00213D84">
              <w:rPr>
                <w:rFonts w:ascii="Calibri" w:eastAsia="Times New Roman" w:hAnsi="Calibri" w:cs="Times New Roman"/>
                <w:color w:val="000000"/>
                <w:lang w:eastAsia="sk-SK"/>
              </w:rPr>
              <w:t xml:space="preserve"> of </w:t>
            </w:r>
            <w:proofErr w:type="spellStart"/>
            <w:r w:rsidRPr="00213D84">
              <w:rPr>
                <w:rFonts w:ascii="Calibri" w:eastAsia="Times New Roman" w:hAnsi="Calibri" w:cs="Times New Roman"/>
                <w:color w:val="000000"/>
                <w:lang w:eastAsia="sk-SK"/>
              </w:rPr>
              <w:t>immovable</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property</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one</w:t>
            </w:r>
            <w:proofErr w:type="spellEnd"/>
            <w:r w:rsidRPr="00213D84">
              <w:rPr>
                <w:rFonts w:ascii="Calibri" w:eastAsia="Times New Roman" w:hAnsi="Calibri" w:cs="Times New Roman"/>
                <w:color w:val="000000"/>
                <w:lang w:eastAsia="sk-SK"/>
              </w:rPr>
              <w:t xml:space="preserve"> has to </w:t>
            </w:r>
            <w:proofErr w:type="spellStart"/>
            <w:r w:rsidRPr="00213D84">
              <w:rPr>
                <w:rFonts w:ascii="Calibri" w:eastAsia="Times New Roman" w:hAnsi="Calibri" w:cs="Times New Roman"/>
                <w:color w:val="000000"/>
                <w:lang w:eastAsia="sk-SK"/>
              </w:rPr>
              <w:t>deal</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with</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the</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formal</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requirements</w:t>
            </w:r>
            <w:proofErr w:type="spellEnd"/>
            <w:r w:rsidRPr="00213D84">
              <w:rPr>
                <w:rFonts w:ascii="Calibri" w:eastAsia="Times New Roman" w:hAnsi="Calibri" w:cs="Times New Roman"/>
                <w:color w:val="000000"/>
                <w:lang w:eastAsia="sk-SK"/>
              </w:rPr>
              <w:t xml:space="preserve"> and </w:t>
            </w:r>
            <w:proofErr w:type="spellStart"/>
            <w:r w:rsidRPr="00213D84">
              <w:rPr>
                <w:rFonts w:ascii="Calibri" w:eastAsia="Times New Roman" w:hAnsi="Calibri" w:cs="Times New Roman"/>
                <w:color w:val="000000"/>
                <w:lang w:eastAsia="sk-SK"/>
              </w:rPr>
              <w:t>registrations</w:t>
            </w:r>
            <w:proofErr w:type="spellEnd"/>
            <w:r w:rsidRPr="00213D84">
              <w:rPr>
                <w:rFonts w:ascii="Calibri" w:eastAsia="Times New Roman" w:hAnsi="Calibri" w:cs="Times New Roman"/>
                <w:color w:val="000000"/>
                <w:lang w:eastAsia="sk-SK"/>
              </w:rPr>
              <w:t xml:space="preserve"> in </w:t>
            </w:r>
            <w:proofErr w:type="spellStart"/>
            <w:r w:rsidRPr="00213D84">
              <w:rPr>
                <w:rFonts w:ascii="Calibri" w:eastAsia="Times New Roman" w:hAnsi="Calibri" w:cs="Times New Roman"/>
                <w:color w:val="000000"/>
                <w:lang w:eastAsia="sk-SK"/>
              </w:rPr>
              <w:t>the</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land</w:t>
            </w:r>
            <w:proofErr w:type="spellEnd"/>
            <w:r w:rsidRPr="00213D84">
              <w:rPr>
                <w:rFonts w:ascii="Calibri" w:eastAsia="Times New Roman" w:hAnsi="Calibri" w:cs="Times New Roman"/>
                <w:color w:val="000000"/>
                <w:lang w:eastAsia="sk-SK"/>
              </w:rPr>
              <w:t xml:space="preserve"> register . </w:t>
            </w:r>
            <w:proofErr w:type="spellStart"/>
            <w:r w:rsidRPr="00213D84">
              <w:rPr>
                <w:rFonts w:ascii="Calibri" w:eastAsia="Times New Roman" w:hAnsi="Calibri" w:cs="Times New Roman"/>
                <w:color w:val="000000"/>
                <w:lang w:eastAsia="sk-SK"/>
              </w:rPr>
              <w:t>However</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if</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problems</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arise</w:t>
            </w:r>
            <w:proofErr w:type="spellEnd"/>
            <w:r w:rsidRPr="00213D84">
              <w:rPr>
                <w:rFonts w:ascii="Calibri" w:eastAsia="Times New Roman" w:hAnsi="Calibri" w:cs="Times New Roman"/>
                <w:color w:val="000000"/>
                <w:lang w:eastAsia="sk-SK"/>
              </w:rPr>
              <w:t xml:space="preserve"> in </w:t>
            </w:r>
            <w:proofErr w:type="spellStart"/>
            <w:r w:rsidRPr="00213D84">
              <w:rPr>
                <w:rFonts w:ascii="Calibri" w:eastAsia="Times New Roman" w:hAnsi="Calibri" w:cs="Times New Roman"/>
                <w:color w:val="000000"/>
                <w:lang w:eastAsia="sk-SK"/>
              </w:rPr>
              <w:t>socio-economic</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practice</w:t>
            </w:r>
            <w:proofErr w:type="spellEnd"/>
            <w:r w:rsidRPr="00213D84">
              <w:rPr>
                <w:rFonts w:ascii="Calibri" w:eastAsia="Times New Roman" w:hAnsi="Calibri" w:cs="Times New Roman"/>
                <w:color w:val="000000"/>
                <w:lang w:eastAsia="sk-SK"/>
              </w:rPr>
              <w:t xml:space="preserve"> , </w:t>
            </w:r>
            <w:proofErr w:type="spellStart"/>
            <w:r w:rsidRPr="00213D84">
              <w:rPr>
                <w:rFonts w:ascii="Calibri" w:eastAsia="Times New Roman" w:hAnsi="Calibri" w:cs="Times New Roman"/>
                <w:color w:val="000000"/>
                <w:lang w:eastAsia="sk-SK"/>
              </w:rPr>
              <w:t>especially</w:t>
            </w:r>
            <w:proofErr w:type="spellEnd"/>
            <w:r w:rsidRPr="00213D84">
              <w:rPr>
                <w:rFonts w:ascii="Calibri" w:eastAsia="Times New Roman" w:hAnsi="Calibri" w:cs="Times New Roman"/>
                <w:color w:val="000000"/>
                <w:lang w:eastAsia="sk-SK"/>
              </w:rPr>
              <w:t xml:space="preserve"> in </w:t>
            </w:r>
            <w:proofErr w:type="spellStart"/>
            <w:r w:rsidRPr="00213D84">
              <w:rPr>
                <w:rFonts w:ascii="Calibri" w:eastAsia="Times New Roman" w:hAnsi="Calibri" w:cs="Times New Roman"/>
                <w:color w:val="000000"/>
                <w:lang w:eastAsia="sk-SK"/>
              </w:rPr>
              <w:t>connection</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with</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the</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effects</w:t>
            </w:r>
            <w:proofErr w:type="spellEnd"/>
            <w:r w:rsidRPr="00213D84">
              <w:rPr>
                <w:rFonts w:ascii="Calibri" w:eastAsia="Times New Roman" w:hAnsi="Calibri" w:cs="Times New Roman"/>
                <w:color w:val="000000"/>
                <w:lang w:eastAsia="sk-SK"/>
              </w:rPr>
              <w:t xml:space="preserve"> of </w:t>
            </w:r>
            <w:proofErr w:type="spellStart"/>
            <w:r w:rsidRPr="00213D84">
              <w:rPr>
                <w:rFonts w:ascii="Calibri" w:eastAsia="Times New Roman" w:hAnsi="Calibri" w:cs="Times New Roman"/>
                <w:color w:val="000000"/>
                <w:lang w:eastAsia="sk-SK"/>
              </w:rPr>
              <w:t>revocation</w:t>
            </w:r>
            <w:proofErr w:type="spellEnd"/>
            <w:r w:rsidRPr="00213D84">
              <w:rPr>
                <w:rFonts w:ascii="Calibri" w:eastAsia="Times New Roman" w:hAnsi="Calibri" w:cs="Times New Roman"/>
                <w:color w:val="000000"/>
                <w:lang w:eastAsia="sk-SK"/>
              </w:rPr>
              <w:t xml:space="preserve"> of </w:t>
            </w:r>
            <w:proofErr w:type="spellStart"/>
            <w:r w:rsidRPr="00213D84">
              <w:rPr>
                <w:rFonts w:ascii="Calibri" w:eastAsia="Times New Roman" w:hAnsi="Calibri" w:cs="Times New Roman"/>
                <w:color w:val="000000"/>
                <w:lang w:eastAsia="sk-SK"/>
              </w:rPr>
              <w:t>the</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gift</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the</w:t>
            </w:r>
            <w:proofErr w:type="spellEnd"/>
            <w:r w:rsidRPr="00213D84">
              <w:rPr>
                <w:rFonts w:ascii="Calibri" w:eastAsia="Times New Roman" w:hAnsi="Calibri" w:cs="Times New Roman"/>
                <w:color w:val="000000"/>
                <w:lang w:eastAsia="sk-SK"/>
              </w:rPr>
              <w:t xml:space="preserve"> invalidity of </w:t>
            </w:r>
            <w:proofErr w:type="spellStart"/>
            <w:r w:rsidRPr="00213D84">
              <w:rPr>
                <w:rFonts w:ascii="Calibri" w:eastAsia="Times New Roman" w:hAnsi="Calibri" w:cs="Times New Roman"/>
                <w:color w:val="000000"/>
                <w:lang w:eastAsia="sk-SK"/>
              </w:rPr>
              <w:t>the</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gift</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case</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law</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theory</w:t>
            </w:r>
            <w:proofErr w:type="spellEnd"/>
            <w:r w:rsidRPr="00213D84">
              <w:rPr>
                <w:rFonts w:ascii="Calibri" w:eastAsia="Times New Roman" w:hAnsi="Calibri" w:cs="Times New Roman"/>
                <w:color w:val="000000"/>
                <w:lang w:eastAsia="sk-SK"/>
              </w:rPr>
              <w:t xml:space="preserve"> and </w:t>
            </w:r>
            <w:proofErr w:type="spellStart"/>
            <w:r w:rsidRPr="00213D84">
              <w:rPr>
                <w:rFonts w:ascii="Calibri" w:eastAsia="Times New Roman" w:hAnsi="Calibri" w:cs="Times New Roman"/>
                <w:color w:val="000000"/>
                <w:lang w:eastAsia="sk-SK"/>
              </w:rPr>
              <w:t>comparative</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excursions</w:t>
            </w:r>
            <w:proofErr w:type="spellEnd"/>
            <w:r w:rsidRPr="00213D84">
              <w:rPr>
                <w:rFonts w:ascii="Calibri" w:eastAsia="Times New Roman" w:hAnsi="Calibri" w:cs="Times New Roman"/>
                <w:color w:val="000000"/>
                <w:lang w:eastAsia="sk-SK"/>
              </w:rPr>
              <w:t xml:space="preserve"> in </w:t>
            </w:r>
            <w:proofErr w:type="spellStart"/>
            <w:r w:rsidRPr="00213D84">
              <w:rPr>
                <w:rFonts w:ascii="Calibri" w:eastAsia="Times New Roman" w:hAnsi="Calibri" w:cs="Times New Roman"/>
                <w:color w:val="000000"/>
                <w:lang w:eastAsia="sk-SK"/>
              </w:rPr>
              <w:t>the</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lastRenderedPageBreak/>
              <w:t>commentary</w:t>
            </w:r>
            <w:proofErr w:type="spellEnd"/>
            <w:r w:rsidRPr="00213D84">
              <w:rPr>
                <w:rFonts w:ascii="Calibri" w:eastAsia="Times New Roman" w:hAnsi="Calibri" w:cs="Times New Roman"/>
                <w:color w:val="000000"/>
                <w:lang w:eastAsia="sk-SK"/>
              </w:rPr>
              <w:t xml:space="preserve"> are </w:t>
            </w:r>
            <w:proofErr w:type="spellStart"/>
            <w:r w:rsidRPr="00213D84">
              <w:rPr>
                <w:rFonts w:ascii="Calibri" w:eastAsia="Times New Roman" w:hAnsi="Calibri" w:cs="Times New Roman"/>
                <w:color w:val="000000"/>
                <w:lang w:eastAsia="sk-SK"/>
              </w:rPr>
              <w:t>an</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important</w:t>
            </w:r>
            <w:proofErr w:type="spellEnd"/>
            <w:r w:rsidRPr="00213D84">
              <w:rPr>
                <w:rFonts w:ascii="Calibri" w:eastAsia="Times New Roman" w:hAnsi="Calibri" w:cs="Times New Roman"/>
                <w:color w:val="000000"/>
                <w:lang w:eastAsia="sk-SK"/>
              </w:rPr>
              <w:t xml:space="preserve"> element to </w:t>
            </w:r>
            <w:proofErr w:type="spellStart"/>
            <w:r w:rsidRPr="00213D84">
              <w:rPr>
                <w:rFonts w:ascii="Calibri" w:eastAsia="Times New Roman" w:hAnsi="Calibri" w:cs="Times New Roman"/>
                <w:color w:val="000000"/>
                <w:lang w:eastAsia="sk-SK"/>
              </w:rPr>
              <w:t>cope</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with</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the</w:t>
            </w:r>
            <w:proofErr w:type="spellEnd"/>
            <w:r w:rsidRPr="00213D84">
              <w:rPr>
                <w:rFonts w:ascii="Calibri" w:eastAsia="Times New Roman" w:hAnsi="Calibri" w:cs="Times New Roman"/>
                <w:color w:val="000000"/>
                <w:lang w:eastAsia="sk-SK"/>
              </w:rPr>
              <w:t xml:space="preserve"> </w:t>
            </w:r>
            <w:proofErr w:type="spellStart"/>
            <w:r w:rsidRPr="00213D84">
              <w:rPr>
                <w:rFonts w:ascii="Calibri" w:eastAsia="Times New Roman" w:hAnsi="Calibri" w:cs="Times New Roman"/>
                <w:color w:val="000000"/>
                <w:lang w:eastAsia="sk-SK"/>
              </w:rPr>
              <w:t>problems</w:t>
            </w:r>
            <w:proofErr w:type="spellEnd"/>
            <w:r w:rsidRPr="00213D84">
              <w:rPr>
                <w:rFonts w:ascii="Calibri" w:eastAsia="Times New Roman" w:hAnsi="Calibri" w:cs="Times New Roman"/>
                <w:color w:val="000000"/>
                <w:lang w:eastAsia="sk-SK"/>
              </w:rPr>
              <w:t>.</w:t>
            </w:r>
          </w:p>
          <w:p w14:paraId="27717E12" w14:textId="498AD7C8" w:rsidR="00213D84" w:rsidRPr="00FF6B5A" w:rsidRDefault="00213D84" w:rsidP="00FF6B5A">
            <w:pPr>
              <w:spacing w:after="0" w:line="240" w:lineRule="auto"/>
              <w:rPr>
                <w:rFonts w:ascii="Calibri" w:eastAsia="Times New Roman" w:hAnsi="Calibri" w:cs="Times New Roman"/>
                <w:color w:val="000000"/>
                <w:lang w:eastAsia="sk-SK"/>
              </w:rPr>
            </w:pPr>
          </w:p>
        </w:tc>
      </w:tr>
      <w:tr w:rsidR="00FF6B5A" w:rsidRPr="00FF6B5A" w14:paraId="6FDEE2BC" w14:textId="77777777" w:rsidTr="799E527B">
        <w:trPr>
          <w:trHeight w:val="1290"/>
        </w:trPr>
        <w:tc>
          <w:tcPr>
            <w:tcW w:w="160" w:type="dxa"/>
            <w:shd w:val="clear" w:color="auto" w:fill="auto"/>
            <w:vAlign w:val="bottom"/>
            <w:hideMark/>
          </w:tcPr>
          <w:p w14:paraId="02B9844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2506" w:type="dxa"/>
            <w:gridSpan w:val="2"/>
            <w:shd w:val="clear" w:color="auto" w:fill="DAE3F3"/>
            <w:vAlign w:val="center"/>
            <w:hideMark/>
          </w:tcPr>
          <w:p w14:paraId="2213E97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7413" w:type="dxa"/>
            <w:shd w:val="clear" w:color="auto" w:fill="auto"/>
            <w:hideMark/>
          </w:tcPr>
          <w:p w14:paraId="6B71BCDA"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DA6366">
              <w:rPr>
                <w:rFonts w:ascii="Calibri" w:eastAsia="Times New Roman" w:hAnsi="Calibri" w:cs="Times New Roman"/>
                <w:color w:val="000000"/>
                <w:lang w:eastAsia="sk-SK"/>
              </w:rPr>
              <w:t>Pre študentov je nevyhnutné v plnej miere porozumieť hodnotovým aj právnym základom bezodplatných právnych úkonov, pričom darovanie je  kľúčovým inštitútom spomedzi nich. Rovnako treba podrobne analyzovať aplikovateľnosť jednotlivých prvkov všeobecného záväzkového práva na tento inštitút, keďže bezodplatnosť transakcie prináša špecifiká, najmä vo vzťahu k právnym následkom porušenia povinností darcu. Pre vyučovací proces to prináša enormné prínosy v porozumení záväzkom.</w:t>
            </w:r>
          </w:p>
          <w:p w14:paraId="70F13082" w14:textId="24015799" w:rsidR="00DA6366" w:rsidRPr="00FF6B5A" w:rsidRDefault="00DA6366" w:rsidP="00FF6B5A">
            <w:pPr>
              <w:spacing w:after="0" w:line="240" w:lineRule="auto"/>
              <w:rPr>
                <w:rFonts w:ascii="Calibri" w:eastAsia="Times New Roman" w:hAnsi="Calibri" w:cs="Times New Roman"/>
                <w:color w:val="000000"/>
                <w:lang w:eastAsia="sk-SK"/>
              </w:rPr>
            </w:pPr>
            <w:proofErr w:type="spellStart"/>
            <w:r w:rsidRPr="00DA6366">
              <w:rPr>
                <w:rFonts w:ascii="Calibri" w:eastAsia="Times New Roman" w:hAnsi="Calibri" w:cs="Times New Roman"/>
                <w:color w:val="000000"/>
                <w:lang w:eastAsia="sk-SK"/>
              </w:rPr>
              <w:t>It</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is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essential</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for</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students</w:t>
            </w:r>
            <w:proofErr w:type="spellEnd"/>
            <w:r w:rsidRPr="00DA6366">
              <w:rPr>
                <w:rFonts w:ascii="Calibri" w:eastAsia="Times New Roman" w:hAnsi="Calibri" w:cs="Times New Roman"/>
                <w:color w:val="000000"/>
                <w:lang w:eastAsia="sk-SK"/>
              </w:rPr>
              <w:t xml:space="preserve"> to </w:t>
            </w:r>
            <w:proofErr w:type="spellStart"/>
            <w:r w:rsidRPr="00DA6366">
              <w:rPr>
                <w:rFonts w:ascii="Calibri" w:eastAsia="Times New Roman" w:hAnsi="Calibri" w:cs="Times New Roman"/>
                <w:color w:val="000000"/>
                <w:lang w:eastAsia="sk-SK"/>
              </w:rPr>
              <w:t>fully</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understand</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both</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the</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value</w:t>
            </w:r>
            <w:proofErr w:type="spellEnd"/>
            <w:r w:rsidRPr="00DA6366">
              <w:rPr>
                <w:rFonts w:ascii="Calibri" w:eastAsia="Times New Roman" w:hAnsi="Calibri" w:cs="Times New Roman"/>
                <w:color w:val="000000"/>
                <w:lang w:eastAsia="sk-SK"/>
              </w:rPr>
              <w:t xml:space="preserve"> and </w:t>
            </w:r>
            <w:proofErr w:type="spellStart"/>
            <w:r w:rsidRPr="00DA6366">
              <w:rPr>
                <w:rFonts w:ascii="Calibri" w:eastAsia="Times New Roman" w:hAnsi="Calibri" w:cs="Times New Roman"/>
                <w:color w:val="000000"/>
                <w:lang w:eastAsia="sk-SK"/>
              </w:rPr>
              <w:t>legal</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bases</w:t>
            </w:r>
            <w:proofErr w:type="spellEnd"/>
            <w:r w:rsidRPr="00DA6366">
              <w:rPr>
                <w:rFonts w:ascii="Calibri" w:eastAsia="Times New Roman" w:hAnsi="Calibri" w:cs="Times New Roman"/>
                <w:color w:val="000000"/>
                <w:lang w:eastAsia="sk-SK"/>
              </w:rPr>
              <w:t xml:space="preserve"> of </w:t>
            </w:r>
            <w:proofErr w:type="spellStart"/>
            <w:r w:rsidRPr="00DA6366">
              <w:rPr>
                <w:rFonts w:ascii="Calibri" w:eastAsia="Times New Roman" w:hAnsi="Calibri" w:cs="Times New Roman"/>
                <w:color w:val="000000"/>
                <w:lang w:eastAsia="sk-SK"/>
              </w:rPr>
              <w:t>gratuitous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legal</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acts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with</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gifting</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being</w:t>
            </w:r>
            <w:proofErr w:type="spellEnd"/>
            <w:r w:rsidRPr="00DA6366">
              <w:rPr>
                <w:rFonts w:ascii="Calibri" w:eastAsia="Times New Roman" w:hAnsi="Calibri" w:cs="Times New Roman"/>
                <w:color w:val="000000"/>
                <w:lang w:eastAsia="sk-SK"/>
              </w:rPr>
              <w:t xml:space="preserve"> a </w:t>
            </w:r>
            <w:proofErr w:type="spellStart"/>
            <w:r w:rsidRPr="00DA6366">
              <w:rPr>
                <w:rFonts w:ascii="Calibri" w:eastAsia="Times New Roman" w:hAnsi="Calibri" w:cs="Times New Roman"/>
                <w:color w:val="000000"/>
                <w:lang w:eastAsia="sk-SK"/>
              </w:rPr>
              <w:t>key</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institution</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among</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them</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It</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is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also</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necessary</w:t>
            </w:r>
            <w:proofErr w:type="spellEnd"/>
            <w:r w:rsidRPr="00DA6366">
              <w:rPr>
                <w:rFonts w:ascii="Calibri" w:eastAsia="Times New Roman" w:hAnsi="Calibri" w:cs="Times New Roman"/>
                <w:color w:val="000000"/>
                <w:lang w:eastAsia="sk-SK"/>
              </w:rPr>
              <w:t xml:space="preserve"> to </w:t>
            </w:r>
            <w:proofErr w:type="spellStart"/>
            <w:r w:rsidRPr="00DA6366">
              <w:rPr>
                <w:rFonts w:ascii="Calibri" w:eastAsia="Times New Roman" w:hAnsi="Calibri" w:cs="Times New Roman"/>
                <w:color w:val="000000"/>
                <w:lang w:eastAsia="sk-SK"/>
              </w:rPr>
              <w:t>analyse</w:t>
            </w:r>
            <w:proofErr w:type="spellEnd"/>
            <w:r w:rsidRPr="00DA6366">
              <w:rPr>
                <w:rFonts w:ascii="Calibri" w:eastAsia="Times New Roman" w:hAnsi="Calibri" w:cs="Times New Roman"/>
                <w:color w:val="000000"/>
                <w:lang w:eastAsia="sk-SK"/>
              </w:rPr>
              <w:t xml:space="preserve"> in detail </w:t>
            </w:r>
            <w:proofErr w:type="spellStart"/>
            <w:r w:rsidRPr="00DA6366">
              <w:rPr>
                <w:rFonts w:ascii="Calibri" w:eastAsia="Times New Roman" w:hAnsi="Calibri" w:cs="Times New Roman"/>
                <w:color w:val="000000"/>
                <w:lang w:eastAsia="sk-SK"/>
              </w:rPr>
              <w:t>the</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applicability</w:t>
            </w:r>
            <w:proofErr w:type="spellEnd"/>
            <w:r w:rsidRPr="00DA6366">
              <w:rPr>
                <w:rFonts w:ascii="Calibri" w:eastAsia="Times New Roman" w:hAnsi="Calibri" w:cs="Times New Roman"/>
                <w:color w:val="000000"/>
                <w:lang w:eastAsia="sk-SK"/>
              </w:rPr>
              <w:t xml:space="preserve"> of </w:t>
            </w:r>
            <w:proofErr w:type="spellStart"/>
            <w:r w:rsidRPr="00DA6366">
              <w:rPr>
                <w:rFonts w:ascii="Calibri" w:eastAsia="Times New Roman" w:hAnsi="Calibri" w:cs="Times New Roman"/>
                <w:color w:val="000000"/>
                <w:lang w:eastAsia="sk-SK"/>
              </w:rPr>
              <w:t>the</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various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elements</w:t>
            </w:r>
            <w:proofErr w:type="spellEnd"/>
            <w:r w:rsidRPr="00DA6366">
              <w:rPr>
                <w:rFonts w:ascii="Calibri" w:eastAsia="Times New Roman" w:hAnsi="Calibri" w:cs="Times New Roman"/>
                <w:color w:val="000000"/>
                <w:lang w:eastAsia="sk-SK"/>
              </w:rPr>
              <w:t xml:space="preserve"> of </w:t>
            </w:r>
            <w:proofErr w:type="spellStart"/>
            <w:r w:rsidRPr="00DA6366">
              <w:rPr>
                <w:rFonts w:ascii="Calibri" w:eastAsia="Times New Roman" w:hAnsi="Calibri" w:cs="Times New Roman"/>
                <w:color w:val="000000"/>
                <w:lang w:eastAsia="sk-SK"/>
              </w:rPr>
              <w:t>the</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general</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law</w:t>
            </w:r>
            <w:proofErr w:type="spellEnd"/>
            <w:r w:rsidRPr="00DA6366">
              <w:rPr>
                <w:rFonts w:ascii="Calibri" w:eastAsia="Times New Roman" w:hAnsi="Calibri" w:cs="Times New Roman"/>
                <w:color w:val="000000"/>
                <w:lang w:eastAsia="sk-SK"/>
              </w:rPr>
              <w:t xml:space="preserve"> of </w:t>
            </w:r>
            <w:proofErr w:type="spellStart"/>
            <w:r w:rsidRPr="00DA6366">
              <w:rPr>
                <w:rFonts w:ascii="Calibri" w:eastAsia="Times New Roman" w:hAnsi="Calibri" w:cs="Times New Roman"/>
                <w:color w:val="000000"/>
                <w:lang w:eastAsia="sk-SK"/>
              </w:rPr>
              <w:t>obligations</w:t>
            </w:r>
            <w:proofErr w:type="spellEnd"/>
            <w:r w:rsidRPr="00DA6366">
              <w:rPr>
                <w:rFonts w:ascii="Calibri" w:eastAsia="Times New Roman" w:hAnsi="Calibri" w:cs="Times New Roman"/>
                <w:color w:val="000000"/>
                <w:lang w:eastAsia="sk-SK"/>
              </w:rPr>
              <w:t xml:space="preserve"> to </w:t>
            </w:r>
            <w:proofErr w:type="spellStart"/>
            <w:r w:rsidRPr="00DA6366">
              <w:rPr>
                <w:rFonts w:ascii="Calibri" w:eastAsia="Times New Roman" w:hAnsi="Calibri" w:cs="Times New Roman"/>
                <w:color w:val="000000"/>
                <w:lang w:eastAsia="sk-SK"/>
              </w:rPr>
              <w:t>this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institute</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since</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the</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gratuitous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nature</w:t>
            </w:r>
            <w:proofErr w:type="spellEnd"/>
            <w:r w:rsidRPr="00DA6366">
              <w:rPr>
                <w:rFonts w:ascii="Calibri" w:eastAsia="Times New Roman" w:hAnsi="Calibri" w:cs="Times New Roman"/>
                <w:color w:val="000000"/>
                <w:lang w:eastAsia="sk-SK"/>
              </w:rPr>
              <w:t xml:space="preserve"> of </w:t>
            </w:r>
            <w:proofErr w:type="spellStart"/>
            <w:r w:rsidRPr="00DA6366">
              <w:rPr>
                <w:rFonts w:ascii="Calibri" w:eastAsia="Times New Roman" w:hAnsi="Calibri" w:cs="Times New Roman"/>
                <w:color w:val="000000"/>
                <w:lang w:eastAsia="sk-SK"/>
              </w:rPr>
              <w:t>the</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transaction</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brings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specificities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especially</w:t>
            </w:r>
            <w:proofErr w:type="spellEnd"/>
            <w:r w:rsidRPr="00DA6366">
              <w:rPr>
                <w:rFonts w:ascii="Calibri" w:eastAsia="Times New Roman" w:hAnsi="Calibri" w:cs="Times New Roman"/>
                <w:color w:val="000000"/>
                <w:lang w:eastAsia="sk-SK"/>
              </w:rPr>
              <w:t xml:space="preserve"> in </w:t>
            </w:r>
            <w:proofErr w:type="spellStart"/>
            <w:r w:rsidRPr="00DA6366">
              <w:rPr>
                <w:rFonts w:ascii="Calibri" w:eastAsia="Times New Roman" w:hAnsi="Calibri" w:cs="Times New Roman"/>
                <w:color w:val="000000"/>
                <w:lang w:eastAsia="sk-SK"/>
              </w:rPr>
              <w:t>relation</w:t>
            </w:r>
            <w:proofErr w:type="spellEnd"/>
            <w:r w:rsidRPr="00DA6366">
              <w:rPr>
                <w:rFonts w:ascii="Calibri" w:eastAsia="Times New Roman" w:hAnsi="Calibri" w:cs="Times New Roman"/>
                <w:color w:val="000000"/>
                <w:lang w:eastAsia="sk-SK"/>
              </w:rPr>
              <w:t xml:space="preserve"> to </w:t>
            </w:r>
            <w:proofErr w:type="spellStart"/>
            <w:r w:rsidRPr="00DA6366">
              <w:rPr>
                <w:rFonts w:ascii="Calibri" w:eastAsia="Times New Roman" w:hAnsi="Calibri" w:cs="Times New Roman"/>
                <w:color w:val="000000"/>
                <w:lang w:eastAsia="sk-SK"/>
              </w:rPr>
              <w:t>the</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legal</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consequences</w:t>
            </w:r>
            <w:proofErr w:type="spellEnd"/>
            <w:r w:rsidRPr="00DA6366">
              <w:rPr>
                <w:rFonts w:ascii="Calibri" w:eastAsia="Times New Roman" w:hAnsi="Calibri" w:cs="Times New Roman"/>
                <w:color w:val="000000"/>
                <w:lang w:eastAsia="sk-SK"/>
              </w:rPr>
              <w:t xml:space="preserve"> of a </w:t>
            </w:r>
            <w:proofErr w:type="spellStart"/>
            <w:r w:rsidRPr="00DA6366">
              <w:rPr>
                <w:rFonts w:ascii="Calibri" w:eastAsia="Times New Roman" w:hAnsi="Calibri" w:cs="Times New Roman"/>
                <w:color w:val="000000"/>
                <w:lang w:eastAsia="sk-SK"/>
              </w:rPr>
              <w:t>breach</w:t>
            </w:r>
            <w:proofErr w:type="spellEnd"/>
            <w:r w:rsidRPr="00DA6366">
              <w:rPr>
                <w:rFonts w:ascii="Calibri" w:eastAsia="Times New Roman" w:hAnsi="Calibri" w:cs="Times New Roman"/>
                <w:color w:val="000000"/>
                <w:lang w:eastAsia="sk-SK"/>
              </w:rPr>
              <w:t xml:space="preserve"> of </w:t>
            </w:r>
            <w:proofErr w:type="spellStart"/>
            <w:r w:rsidRPr="00DA6366">
              <w:rPr>
                <w:rFonts w:ascii="Calibri" w:eastAsia="Times New Roman" w:hAnsi="Calibri" w:cs="Times New Roman"/>
                <w:color w:val="000000"/>
                <w:lang w:eastAsia="sk-SK"/>
              </w:rPr>
              <w:t>the</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donor's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obligations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For</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the</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teaching</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process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this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brings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enormous</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benefits</w:t>
            </w:r>
            <w:proofErr w:type="spellEnd"/>
            <w:r w:rsidRPr="00DA6366">
              <w:rPr>
                <w:rFonts w:ascii="Calibri" w:eastAsia="Times New Roman" w:hAnsi="Calibri" w:cs="Times New Roman"/>
                <w:color w:val="000000"/>
                <w:lang w:eastAsia="sk-SK"/>
              </w:rPr>
              <w:t xml:space="preserve"> in </w:t>
            </w:r>
            <w:proofErr w:type="spellStart"/>
            <w:r w:rsidRPr="00DA6366">
              <w:rPr>
                <w:rFonts w:ascii="Calibri" w:eastAsia="Times New Roman" w:hAnsi="Calibri" w:cs="Times New Roman"/>
                <w:color w:val="000000"/>
                <w:lang w:eastAsia="sk-SK"/>
              </w:rPr>
              <w:t>the</w:t>
            </w:r>
            <w:proofErr w:type="spellEnd"/>
            <w:r w:rsidRPr="00DA6366">
              <w:rPr>
                <w:rFonts w:ascii="Calibri" w:eastAsia="Times New Roman" w:hAnsi="Calibri" w:cs="Times New Roman"/>
                <w:color w:val="000000"/>
                <w:lang w:eastAsia="sk-SK"/>
              </w:rPr>
              <w:t xml:space="preserve"> </w:t>
            </w:r>
            <w:proofErr w:type="spellStart"/>
            <w:r w:rsidRPr="00DA6366">
              <w:rPr>
                <w:rFonts w:ascii="Calibri" w:eastAsia="Times New Roman" w:hAnsi="Calibri" w:cs="Times New Roman"/>
                <w:color w:val="000000"/>
                <w:lang w:eastAsia="sk-SK"/>
              </w:rPr>
              <w:t>understanding</w:t>
            </w:r>
            <w:proofErr w:type="spellEnd"/>
            <w:r w:rsidRPr="00DA6366">
              <w:rPr>
                <w:rFonts w:ascii="Calibri" w:eastAsia="Times New Roman" w:hAnsi="Calibri" w:cs="Times New Roman"/>
                <w:color w:val="000000"/>
                <w:lang w:eastAsia="sk-SK"/>
              </w:rPr>
              <w:t xml:space="preserve"> of </w:t>
            </w:r>
            <w:proofErr w:type="spellStart"/>
            <w:r w:rsidRPr="00DA6366">
              <w:rPr>
                <w:rFonts w:ascii="Calibri" w:eastAsia="Times New Roman" w:hAnsi="Calibri" w:cs="Times New Roman"/>
                <w:color w:val="000000"/>
                <w:lang w:eastAsia="sk-SK"/>
              </w:rPr>
              <w:t>obligations</w:t>
            </w:r>
            <w:proofErr w:type="spellEnd"/>
            <w:r w:rsidRPr="00DA6366">
              <w:rPr>
                <w:rFonts w:ascii="Calibri" w:eastAsia="Times New Roman" w:hAnsi="Calibri" w:cs="Times New Roman"/>
                <w:color w:val="000000"/>
                <w:lang w:eastAsia="sk-SK"/>
              </w:rPr>
              <w:t>.</w:t>
            </w:r>
          </w:p>
        </w:tc>
      </w:tr>
      <w:tr w:rsidR="00FF6B5A" w:rsidRPr="00FF6B5A" w14:paraId="51FB8844" w14:textId="77777777" w:rsidTr="799E527B">
        <w:trPr>
          <w:trHeight w:val="204"/>
        </w:trPr>
        <w:tc>
          <w:tcPr>
            <w:tcW w:w="160" w:type="dxa"/>
            <w:shd w:val="clear" w:color="auto" w:fill="auto"/>
            <w:vAlign w:val="bottom"/>
            <w:hideMark/>
          </w:tcPr>
          <w:p w14:paraId="54AD3BB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316" w:type="dxa"/>
            <w:shd w:val="clear" w:color="auto" w:fill="auto"/>
            <w:vAlign w:val="center"/>
            <w:hideMark/>
          </w:tcPr>
          <w:p w14:paraId="14D880DF"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2190" w:type="dxa"/>
            <w:shd w:val="clear" w:color="auto" w:fill="auto"/>
            <w:vAlign w:val="center"/>
            <w:hideMark/>
          </w:tcPr>
          <w:p w14:paraId="50D4B6FD"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7413" w:type="dxa"/>
            <w:shd w:val="clear" w:color="auto" w:fill="auto"/>
            <w:hideMark/>
          </w:tcPr>
          <w:p w14:paraId="0B7CE8CC"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9A76E59" w14:textId="77777777" w:rsidR="00502F15" w:rsidRDefault="00502F15"/>
    <w:p w14:paraId="67411768" w14:textId="77777777" w:rsidR="00C86832" w:rsidRDefault="00C86832"/>
    <w:p w14:paraId="472BF122" w14:textId="77777777" w:rsidR="00C86832" w:rsidRPr="00FF6B5A" w:rsidRDefault="00C86832">
      <w:r w:rsidRPr="00C86832">
        <w:t>https://app.crepc.sk/?fn=detailBiblioFormChildG1J2D&amp;sid=D0F7DA0282A4E6146F8ADDC9&amp;seo=CREP%C4%8C-detail-kniha</w:t>
      </w:r>
    </w:p>
    <w:sectPr w:rsidR="00C86832" w:rsidRPr="00FF6B5A" w:rsidSect="008E2108">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129C3" w14:textId="77777777" w:rsidR="00426441" w:rsidRDefault="00426441" w:rsidP="00816E73">
      <w:pPr>
        <w:spacing w:after="0" w:line="240" w:lineRule="auto"/>
      </w:pPr>
      <w:r>
        <w:separator/>
      </w:r>
    </w:p>
  </w:endnote>
  <w:endnote w:type="continuationSeparator" w:id="0">
    <w:p w14:paraId="4EA3E024" w14:textId="77777777" w:rsidR="00426441" w:rsidRDefault="00426441"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5B01"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E9014" w14:textId="77777777" w:rsidR="00A23768" w:rsidRDefault="00A23768">
    <w:pPr>
      <w:pStyle w:val="Pta"/>
    </w:pPr>
    <w:r w:rsidRPr="00A23768">
      <w:t>T_Z_VTCAj_1/ 2020</w:t>
    </w:r>
  </w:p>
  <w:p w14:paraId="0EDA3925"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C3DB"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2AD94" w14:textId="77777777" w:rsidR="00426441" w:rsidRDefault="00426441" w:rsidP="00816E73">
      <w:pPr>
        <w:spacing w:after="0" w:line="240" w:lineRule="auto"/>
      </w:pPr>
      <w:r>
        <w:separator/>
      </w:r>
    </w:p>
  </w:footnote>
  <w:footnote w:type="continuationSeparator" w:id="0">
    <w:p w14:paraId="2CA4F6F5" w14:textId="77777777" w:rsidR="00426441" w:rsidRDefault="00426441" w:rsidP="00816E73">
      <w:pPr>
        <w:spacing w:after="0" w:line="240" w:lineRule="auto"/>
      </w:pPr>
      <w:r>
        <w:continuationSeparator/>
      </w:r>
    </w:p>
  </w:footnote>
  <w:footnote w:id="1">
    <w:p w14:paraId="23A299BA"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2FF03C34"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2E42633E"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43E61EE2"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6E3BAA6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20422C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73B625F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2DDA9AF8"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3677F5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F8D3"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A435"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78FE7975" wp14:editId="55867E28">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58634A56"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46AC"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17548"/>
    <w:rsid w:val="0007243E"/>
    <w:rsid w:val="0008088C"/>
    <w:rsid w:val="00087B3E"/>
    <w:rsid w:val="00102D82"/>
    <w:rsid w:val="00112F47"/>
    <w:rsid w:val="001A42DD"/>
    <w:rsid w:val="001F26CD"/>
    <w:rsid w:val="001F2D04"/>
    <w:rsid w:val="00213D84"/>
    <w:rsid w:val="00222794"/>
    <w:rsid w:val="002846C8"/>
    <w:rsid w:val="00422600"/>
    <w:rsid w:val="00426441"/>
    <w:rsid w:val="004D3FFD"/>
    <w:rsid w:val="004D5CBD"/>
    <w:rsid w:val="004E4845"/>
    <w:rsid w:val="00502F15"/>
    <w:rsid w:val="00532FE9"/>
    <w:rsid w:val="00543C52"/>
    <w:rsid w:val="00572798"/>
    <w:rsid w:val="00675F63"/>
    <w:rsid w:val="006849EB"/>
    <w:rsid w:val="006F6B13"/>
    <w:rsid w:val="00816E73"/>
    <w:rsid w:val="00852CC7"/>
    <w:rsid w:val="00860975"/>
    <w:rsid w:val="008B78D7"/>
    <w:rsid w:val="008E2108"/>
    <w:rsid w:val="008E7E49"/>
    <w:rsid w:val="009547F9"/>
    <w:rsid w:val="00975300"/>
    <w:rsid w:val="009770A6"/>
    <w:rsid w:val="00980601"/>
    <w:rsid w:val="00A23768"/>
    <w:rsid w:val="00AF4E67"/>
    <w:rsid w:val="00B15040"/>
    <w:rsid w:val="00BA1526"/>
    <w:rsid w:val="00BC3494"/>
    <w:rsid w:val="00BC418A"/>
    <w:rsid w:val="00C40D4D"/>
    <w:rsid w:val="00C86832"/>
    <w:rsid w:val="00CC62C8"/>
    <w:rsid w:val="00D64B7C"/>
    <w:rsid w:val="00D733AB"/>
    <w:rsid w:val="00DA6366"/>
    <w:rsid w:val="00DB1F1D"/>
    <w:rsid w:val="00DF77E6"/>
    <w:rsid w:val="00E91FE0"/>
    <w:rsid w:val="00EC403D"/>
    <w:rsid w:val="00FE27EC"/>
    <w:rsid w:val="00FF6B5A"/>
    <w:rsid w:val="0774768B"/>
    <w:rsid w:val="0C7A2B50"/>
    <w:rsid w:val="29224C32"/>
    <w:rsid w:val="2C48EBEC"/>
    <w:rsid w:val="372CC6AE"/>
    <w:rsid w:val="3A01B598"/>
    <w:rsid w:val="49A67398"/>
    <w:rsid w:val="49AAAA4E"/>
    <w:rsid w:val="573441C7"/>
    <w:rsid w:val="63F66399"/>
    <w:rsid w:val="799E52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C20DE"/>
  <w15:docId w15:val="{862BBE52-D221-6C49-8F5C-791438BD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ormaltextrun">
    <w:name w:val="normaltextrun"/>
    <w:basedOn w:val="Predvolenpsmoodseku"/>
    <w:rsid w:val="00543C52"/>
  </w:style>
  <w:style w:type="character" w:customStyle="1" w:styleId="eop">
    <w:name w:val="eop"/>
    <w:basedOn w:val="Predvolenpsmoodseku"/>
    <w:rsid w:val="00543C52"/>
  </w:style>
  <w:style w:type="character" w:customStyle="1" w:styleId="apple-converted-space">
    <w:name w:val="apple-converted-space"/>
    <w:basedOn w:val="Predvolenpsmoodseku"/>
    <w:rsid w:val="008E7E49"/>
  </w:style>
  <w:style w:type="character" w:customStyle="1" w:styleId="highlight">
    <w:name w:val="highlight"/>
    <w:basedOn w:val="Predvolenpsmoodseku"/>
    <w:rsid w:val="008E7E49"/>
  </w:style>
  <w:style w:type="character" w:customStyle="1" w:styleId="spellingerror">
    <w:name w:val="spellingerror"/>
    <w:basedOn w:val="Predvolenpsmoodseku"/>
    <w:rsid w:val="008E7E49"/>
  </w:style>
  <w:style w:type="character" w:customStyle="1" w:styleId="bcx4">
    <w:name w:val="bcx4"/>
    <w:basedOn w:val="Predvolenpsmoodseku"/>
    <w:rsid w:val="008E7E49"/>
  </w:style>
  <w:style w:type="character" w:customStyle="1" w:styleId="findhit">
    <w:name w:val="findhit"/>
    <w:basedOn w:val="Predvolenpsmoodseku"/>
    <w:rsid w:val="008E7E49"/>
  </w:style>
  <w:style w:type="character" w:styleId="Nevyrieenzmienka">
    <w:name w:val="Unresolved Mention"/>
    <w:basedOn w:val="Predvolenpsmoodseku"/>
    <w:uiPriority w:val="99"/>
    <w:semiHidden/>
    <w:unhideWhenUsed/>
    <w:rsid w:val="00DB1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61976">
      <w:bodyDiv w:val="1"/>
      <w:marLeft w:val="0"/>
      <w:marRight w:val="0"/>
      <w:marTop w:val="0"/>
      <w:marBottom w:val="0"/>
      <w:divBdr>
        <w:top w:val="none" w:sz="0" w:space="0" w:color="auto"/>
        <w:left w:val="none" w:sz="0" w:space="0" w:color="auto"/>
        <w:bottom w:val="none" w:sz="0" w:space="0" w:color="auto"/>
        <w:right w:val="none" w:sz="0" w:space="0" w:color="auto"/>
      </w:divBdr>
    </w:div>
    <w:div w:id="345981438">
      <w:bodyDiv w:val="1"/>
      <w:marLeft w:val="0"/>
      <w:marRight w:val="0"/>
      <w:marTop w:val="0"/>
      <w:marBottom w:val="0"/>
      <w:divBdr>
        <w:top w:val="none" w:sz="0" w:space="0" w:color="auto"/>
        <w:left w:val="none" w:sz="0" w:space="0" w:color="auto"/>
        <w:bottom w:val="none" w:sz="0" w:space="0" w:color="auto"/>
        <w:right w:val="none" w:sz="0" w:space="0" w:color="auto"/>
      </w:divBdr>
    </w:div>
    <w:div w:id="592199934">
      <w:bodyDiv w:val="1"/>
      <w:marLeft w:val="0"/>
      <w:marRight w:val="0"/>
      <w:marTop w:val="0"/>
      <w:marBottom w:val="0"/>
      <w:divBdr>
        <w:top w:val="none" w:sz="0" w:space="0" w:color="auto"/>
        <w:left w:val="none" w:sz="0" w:space="0" w:color="auto"/>
        <w:bottom w:val="none" w:sz="0" w:space="0" w:color="auto"/>
        <w:right w:val="none" w:sz="0" w:space="0" w:color="auto"/>
      </w:divBdr>
    </w:div>
    <w:div w:id="623318075">
      <w:bodyDiv w:val="1"/>
      <w:marLeft w:val="0"/>
      <w:marRight w:val="0"/>
      <w:marTop w:val="0"/>
      <w:marBottom w:val="0"/>
      <w:divBdr>
        <w:top w:val="none" w:sz="0" w:space="0" w:color="auto"/>
        <w:left w:val="none" w:sz="0" w:space="0" w:color="auto"/>
        <w:bottom w:val="none" w:sz="0" w:space="0" w:color="auto"/>
        <w:right w:val="none" w:sz="0" w:space="0" w:color="auto"/>
      </w:divBdr>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747077205">
      <w:bodyDiv w:val="1"/>
      <w:marLeft w:val="0"/>
      <w:marRight w:val="0"/>
      <w:marTop w:val="0"/>
      <w:marBottom w:val="0"/>
      <w:divBdr>
        <w:top w:val="none" w:sz="0" w:space="0" w:color="auto"/>
        <w:left w:val="none" w:sz="0" w:space="0" w:color="auto"/>
        <w:bottom w:val="none" w:sz="0" w:space="0" w:color="auto"/>
        <w:right w:val="none" w:sz="0" w:space="0" w:color="auto"/>
      </w:divBdr>
    </w:div>
    <w:div w:id="819544549">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089891079">
      <w:bodyDiv w:val="1"/>
      <w:marLeft w:val="0"/>
      <w:marRight w:val="0"/>
      <w:marTop w:val="0"/>
      <w:marBottom w:val="0"/>
      <w:divBdr>
        <w:top w:val="none" w:sz="0" w:space="0" w:color="auto"/>
        <w:left w:val="none" w:sz="0" w:space="0" w:color="auto"/>
        <w:bottom w:val="none" w:sz="0" w:space="0" w:color="auto"/>
        <w:right w:val="none" w:sz="0" w:space="0" w:color="auto"/>
      </w:divBdr>
    </w:div>
    <w:div w:id="1206525560">
      <w:bodyDiv w:val="1"/>
      <w:marLeft w:val="0"/>
      <w:marRight w:val="0"/>
      <w:marTop w:val="0"/>
      <w:marBottom w:val="0"/>
      <w:divBdr>
        <w:top w:val="none" w:sz="0" w:space="0" w:color="auto"/>
        <w:left w:val="none" w:sz="0" w:space="0" w:color="auto"/>
        <w:bottom w:val="none" w:sz="0" w:space="0" w:color="auto"/>
        <w:right w:val="none" w:sz="0" w:space="0" w:color="auto"/>
      </w:divBdr>
    </w:div>
    <w:div w:id="1293826149">
      <w:bodyDiv w:val="1"/>
      <w:marLeft w:val="0"/>
      <w:marRight w:val="0"/>
      <w:marTop w:val="0"/>
      <w:marBottom w:val="0"/>
      <w:divBdr>
        <w:top w:val="none" w:sz="0" w:space="0" w:color="auto"/>
        <w:left w:val="none" w:sz="0" w:space="0" w:color="auto"/>
        <w:bottom w:val="none" w:sz="0" w:space="0" w:color="auto"/>
        <w:right w:val="none" w:sz="0" w:space="0" w:color="auto"/>
      </w:divBdr>
    </w:div>
    <w:div w:id="1320885131">
      <w:bodyDiv w:val="1"/>
      <w:marLeft w:val="0"/>
      <w:marRight w:val="0"/>
      <w:marTop w:val="0"/>
      <w:marBottom w:val="0"/>
      <w:divBdr>
        <w:top w:val="none" w:sz="0" w:space="0" w:color="auto"/>
        <w:left w:val="none" w:sz="0" w:space="0" w:color="auto"/>
        <w:bottom w:val="none" w:sz="0" w:space="0" w:color="auto"/>
        <w:right w:val="none" w:sz="0" w:space="0" w:color="auto"/>
      </w:divBdr>
    </w:div>
    <w:div w:id="1338265734">
      <w:bodyDiv w:val="1"/>
      <w:marLeft w:val="0"/>
      <w:marRight w:val="0"/>
      <w:marTop w:val="0"/>
      <w:marBottom w:val="0"/>
      <w:divBdr>
        <w:top w:val="none" w:sz="0" w:space="0" w:color="auto"/>
        <w:left w:val="none" w:sz="0" w:space="0" w:color="auto"/>
        <w:bottom w:val="none" w:sz="0" w:space="0" w:color="auto"/>
        <w:right w:val="none" w:sz="0" w:space="0" w:color="auto"/>
      </w:divBdr>
    </w:div>
    <w:div w:id="1864434632">
      <w:bodyDiv w:val="1"/>
      <w:marLeft w:val="0"/>
      <w:marRight w:val="0"/>
      <w:marTop w:val="0"/>
      <w:marBottom w:val="0"/>
      <w:divBdr>
        <w:top w:val="none" w:sz="0" w:space="0" w:color="auto"/>
        <w:left w:val="none" w:sz="0" w:space="0" w:color="auto"/>
        <w:bottom w:val="none" w:sz="0" w:space="0" w:color="auto"/>
        <w:right w:val="none" w:sz="0" w:space="0" w:color="auto"/>
      </w:divBdr>
    </w:div>
    <w:div w:id="2022856783">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https://app.crepc.sk/?fn=detailBiblioForm&amp;sid=77472A57103095E44E0D0BB0E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yperlink" Target="file:///E:/_Docs%20%26amp;%20Rozne/DOC/Doc/Zbornik%26amp;Doc/Nov&#253;/Nov&#253;_doc/__Webstr/z_POM/Doc/Nov&#253;/Hodnot%20sprava/Intranet/IMG%20web/Nov&#253;%20prie&#269;inok/T_Z_VTC_SjAj_1-2020.xlsx"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portalvs.sk/regzam/detail/8754?do=filterForm-submit&amp;name=Monika&amp;surname=Jur&#269;ov&#225;&amp;university=713000000&amp;faculty=713050000&amp;sort=surname&amp;employment_state=yes&amp;filter=Vyh&#318;ada&#357;"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footer" Target="footer2.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customXml/itemProps2.xml><?xml version="1.0" encoding="utf-8"?>
<ds:datastoreItem xmlns:ds="http://schemas.openxmlformats.org/officeDocument/2006/customXml" ds:itemID="{940D0FF2-599A-4974-BEC3-1875966AA7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AE9857-E320-4725-880F-351DA02D2370}">
  <ds:schemaRefs>
    <ds:schemaRef ds:uri="http://schemas.microsoft.com/sharepoint/v3/contenttype/forms"/>
  </ds:schemaRefs>
</ds:datastoreItem>
</file>

<file path=customXml/itemProps4.xml><?xml version="1.0" encoding="utf-8"?>
<ds:datastoreItem xmlns:ds="http://schemas.openxmlformats.org/officeDocument/2006/customXml" ds:itemID="{F3E3ACC3-E67D-4E21-8DD8-34E5833EB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1860</Words>
  <Characters>10606</Characters>
  <Application>Microsoft Office Word</Application>
  <DocSecurity>0</DocSecurity>
  <Lines>88</Lines>
  <Paragraphs>24</Paragraphs>
  <ScaleCrop>false</ScaleCrop>
  <Company>Trnavska univerzita</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6</cp:revision>
  <dcterms:created xsi:type="dcterms:W3CDTF">2022-01-11T09:49:00Z</dcterms:created>
  <dcterms:modified xsi:type="dcterms:W3CDTF">2025-11-04T12:45:00Z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