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255"/>
        <w:gridCol w:w="2025"/>
        <w:gridCol w:w="7578"/>
      </w:tblGrid>
      <w:tr w:rsidR="00FF6B5A" w:rsidRPr="00FF6B5A" w14:paraId="6310AA65" w14:textId="77777777" w:rsidTr="44BB2282">
        <w:trPr>
          <w:trHeight w:val="204"/>
        </w:trPr>
        <w:tc>
          <w:tcPr>
            <w:tcW w:w="315" w:type="dxa"/>
            <w:shd w:val="clear" w:color="auto" w:fill="auto"/>
            <w:vAlign w:val="bottom"/>
            <w:hideMark/>
          </w:tcPr>
          <w:p w14:paraId="3D42234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2D50492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14:paraId="7C13991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78" w:type="dxa"/>
            <w:shd w:val="clear" w:color="auto" w:fill="auto"/>
            <w:hideMark/>
          </w:tcPr>
          <w:p w14:paraId="16E4D01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7317C696" w14:textId="77777777" w:rsidTr="44BB2282">
        <w:trPr>
          <w:trHeight w:val="450"/>
        </w:trPr>
        <w:tc>
          <w:tcPr>
            <w:tcW w:w="315" w:type="dxa"/>
            <w:shd w:val="clear" w:color="auto" w:fill="auto"/>
            <w:vAlign w:val="center"/>
            <w:hideMark/>
          </w:tcPr>
          <w:p w14:paraId="1165D7E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9858" w:type="dxa"/>
            <w:gridSpan w:val="3"/>
            <w:vMerge w:val="restart"/>
            <w:shd w:val="clear" w:color="auto" w:fill="2F5597"/>
            <w:vAlign w:val="center"/>
            <w:hideMark/>
          </w:tcPr>
          <w:p w14:paraId="0B19AD3D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1856B225" w14:textId="77777777" w:rsidTr="44BB2282">
        <w:trPr>
          <w:trHeight w:val="450"/>
        </w:trPr>
        <w:tc>
          <w:tcPr>
            <w:tcW w:w="315" w:type="dxa"/>
            <w:shd w:val="clear" w:color="auto" w:fill="auto"/>
            <w:vAlign w:val="center"/>
            <w:hideMark/>
          </w:tcPr>
          <w:p w14:paraId="722A68F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9858" w:type="dxa"/>
            <w:gridSpan w:val="3"/>
            <w:vMerge/>
            <w:vAlign w:val="center"/>
            <w:hideMark/>
          </w:tcPr>
          <w:p w14:paraId="600AC5E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187368C3" w14:textId="77777777" w:rsidTr="44BB2282">
        <w:trPr>
          <w:trHeight w:val="60"/>
        </w:trPr>
        <w:tc>
          <w:tcPr>
            <w:tcW w:w="315" w:type="dxa"/>
            <w:shd w:val="clear" w:color="auto" w:fill="auto"/>
            <w:vAlign w:val="bottom"/>
            <w:hideMark/>
          </w:tcPr>
          <w:p w14:paraId="50FCE1A6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10697D9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14:paraId="3A03CCF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78" w:type="dxa"/>
            <w:shd w:val="clear" w:color="auto" w:fill="auto"/>
            <w:hideMark/>
          </w:tcPr>
          <w:p w14:paraId="3EDBFC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321F4825" w14:textId="77777777" w:rsidTr="44BB2282">
        <w:trPr>
          <w:trHeight w:val="375"/>
        </w:trPr>
        <w:tc>
          <w:tcPr>
            <w:tcW w:w="315" w:type="dxa"/>
            <w:shd w:val="clear" w:color="auto" w:fill="auto"/>
            <w:vAlign w:val="bottom"/>
            <w:hideMark/>
          </w:tcPr>
          <w:p w14:paraId="1E86D0A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9858" w:type="dxa"/>
            <w:gridSpan w:val="3"/>
            <w:vMerge w:val="restart"/>
            <w:shd w:val="clear" w:color="auto" w:fill="auto"/>
            <w:vAlign w:val="bottom"/>
            <w:hideMark/>
          </w:tcPr>
          <w:p w14:paraId="34FEE83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13892AB5" w14:textId="77777777" w:rsidTr="44BB2282">
        <w:trPr>
          <w:trHeight w:val="375"/>
        </w:trPr>
        <w:tc>
          <w:tcPr>
            <w:tcW w:w="315" w:type="dxa"/>
            <w:shd w:val="clear" w:color="auto" w:fill="auto"/>
            <w:vAlign w:val="bottom"/>
            <w:hideMark/>
          </w:tcPr>
          <w:p w14:paraId="751F75D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9858" w:type="dxa"/>
            <w:gridSpan w:val="3"/>
            <w:vMerge/>
            <w:vAlign w:val="center"/>
            <w:hideMark/>
          </w:tcPr>
          <w:p w14:paraId="52F81D4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605BD249" w14:textId="77777777" w:rsidTr="44BB2282">
        <w:trPr>
          <w:trHeight w:val="90"/>
        </w:trPr>
        <w:tc>
          <w:tcPr>
            <w:tcW w:w="315" w:type="dxa"/>
            <w:shd w:val="clear" w:color="auto" w:fill="auto"/>
            <w:vAlign w:val="bottom"/>
            <w:hideMark/>
          </w:tcPr>
          <w:p w14:paraId="10380E6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518DB5E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14:paraId="4487232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78" w:type="dxa"/>
            <w:shd w:val="clear" w:color="auto" w:fill="auto"/>
            <w:hideMark/>
          </w:tcPr>
          <w:p w14:paraId="0F5C3B4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FC30B39" w14:textId="77777777" w:rsidTr="44BB2282">
        <w:trPr>
          <w:trHeight w:val="345"/>
        </w:trPr>
        <w:tc>
          <w:tcPr>
            <w:tcW w:w="315" w:type="dxa"/>
            <w:shd w:val="clear" w:color="auto" w:fill="auto"/>
            <w:vAlign w:val="bottom"/>
            <w:hideMark/>
          </w:tcPr>
          <w:p w14:paraId="3D9F282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1DD3BCF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25" w:type="dxa"/>
            <w:shd w:val="clear" w:color="auto" w:fill="D9E1F2"/>
            <w:vAlign w:val="center"/>
            <w:hideMark/>
          </w:tcPr>
          <w:p w14:paraId="5F04A83E" w14:textId="77777777" w:rsidR="00FF6B5A" w:rsidRPr="00FF6B5A" w:rsidRDefault="0067776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7578" w:type="dxa"/>
            <w:shd w:val="clear" w:color="auto" w:fill="auto"/>
            <w:hideMark/>
          </w:tcPr>
          <w:p w14:paraId="50B736E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480C31B" w14:textId="77777777" w:rsidTr="44BB2282">
        <w:trPr>
          <w:trHeight w:val="345"/>
        </w:trPr>
        <w:tc>
          <w:tcPr>
            <w:tcW w:w="315" w:type="dxa"/>
            <w:shd w:val="clear" w:color="auto" w:fill="auto"/>
            <w:vAlign w:val="bottom"/>
            <w:hideMark/>
          </w:tcPr>
          <w:p w14:paraId="18925D7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4218EE0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2025" w:type="dxa"/>
            <w:shd w:val="clear" w:color="auto" w:fill="D9E1F2"/>
            <w:vAlign w:val="center"/>
            <w:hideMark/>
          </w:tcPr>
          <w:p w14:paraId="516F90A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7578" w:type="dxa"/>
            <w:shd w:val="clear" w:color="auto" w:fill="auto"/>
            <w:hideMark/>
          </w:tcPr>
          <w:p w14:paraId="400D2CE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C2C5DAD" w14:textId="77777777" w:rsidTr="44BB2282">
        <w:trPr>
          <w:trHeight w:val="405"/>
        </w:trPr>
        <w:tc>
          <w:tcPr>
            <w:tcW w:w="315" w:type="dxa"/>
            <w:shd w:val="clear" w:color="auto" w:fill="auto"/>
            <w:vAlign w:val="bottom"/>
            <w:hideMark/>
          </w:tcPr>
          <w:p w14:paraId="6AC9C23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592BB46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14:paraId="7CB4D51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78" w:type="dxa"/>
            <w:shd w:val="clear" w:color="auto" w:fill="auto"/>
            <w:hideMark/>
          </w:tcPr>
          <w:p w14:paraId="4060C9D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5E8949A" w14:textId="77777777" w:rsidTr="44BB2282">
        <w:trPr>
          <w:trHeight w:val="510"/>
        </w:trPr>
        <w:tc>
          <w:tcPr>
            <w:tcW w:w="315" w:type="dxa"/>
            <w:shd w:val="clear" w:color="auto" w:fill="auto"/>
            <w:vAlign w:val="bottom"/>
            <w:hideMark/>
          </w:tcPr>
          <w:p w14:paraId="2D12998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3D97B3AB" w14:textId="77777777" w:rsidR="00FF6B5A" w:rsidRPr="00FF6B5A" w:rsidRDefault="0067776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7578" w:type="dxa"/>
            <w:shd w:val="clear" w:color="auto" w:fill="auto"/>
            <w:hideMark/>
          </w:tcPr>
          <w:p w14:paraId="7FD47DBC" w14:textId="0731AA1B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Fonts w:ascii="Calibri" w:eastAsia="Times New Roman" w:hAnsi="Calibri" w:cs="Times New Roman"/>
                <w:color w:val="000000"/>
                <w:lang w:eastAsia="sk-SK"/>
              </w:rPr>
              <w:t>Jurčová</w:t>
            </w:r>
          </w:p>
        </w:tc>
      </w:tr>
      <w:tr w:rsidR="00FF6B5A" w:rsidRPr="00FF6B5A" w14:paraId="3B1F13F9" w14:textId="77777777" w:rsidTr="44BB2282">
        <w:trPr>
          <w:trHeight w:val="315"/>
        </w:trPr>
        <w:tc>
          <w:tcPr>
            <w:tcW w:w="315" w:type="dxa"/>
            <w:shd w:val="clear" w:color="auto" w:fill="auto"/>
            <w:vAlign w:val="bottom"/>
            <w:hideMark/>
          </w:tcPr>
          <w:p w14:paraId="1699A2C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1F07578F" w14:textId="77777777" w:rsidR="00FF6B5A" w:rsidRPr="00FF6B5A" w:rsidRDefault="0067776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7578" w:type="dxa"/>
            <w:shd w:val="clear" w:color="auto" w:fill="auto"/>
            <w:hideMark/>
          </w:tcPr>
          <w:p w14:paraId="77B6CE8E" w14:textId="0C8BC93C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Fonts w:ascii="Calibri" w:eastAsia="Times New Roman" w:hAnsi="Calibri" w:cs="Times New Roman"/>
                <w:color w:val="000000"/>
                <w:lang w:eastAsia="sk-SK"/>
              </w:rPr>
              <w:t>Monika</w:t>
            </w:r>
          </w:p>
        </w:tc>
      </w:tr>
      <w:tr w:rsidR="00FF6B5A" w:rsidRPr="00FF6B5A" w14:paraId="13A9B15A" w14:textId="77777777" w:rsidTr="44BB2282">
        <w:trPr>
          <w:trHeight w:val="510"/>
        </w:trPr>
        <w:tc>
          <w:tcPr>
            <w:tcW w:w="315" w:type="dxa"/>
            <w:shd w:val="clear" w:color="auto" w:fill="auto"/>
            <w:vAlign w:val="bottom"/>
            <w:hideMark/>
          </w:tcPr>
          <w:p w14:paraId="324E10F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77EEE2CC" w14:textId="77777777" w:rsidR="00FF6B5A" w:rsidRPr="00FF6B5A" w:rsidRDefault="0067776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7578" w:type="dxa"/>
            <w:shd w:val="clear" w:color="auto" w:fill="auto"/>
            <w:hideMark/>
          </w:tcPr>
          <w:p w14:paraId="227F95FC" w14:textId="0D0251EC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 PhD.</w:t>
            </w:r>
          </w:p>
        </w:tc>
      </w:tr>
      <w:tr w:rsidR="00FF6B5A" w:rsidRPr="00FF6B5A" w14:paraId="3E131030" w14:textId="77777777" w:rsidTr="44BB2282">
        <w:trPr>
          <w:trHeight w:val="660"/>
        </w:trPr>
        <w:tc>
          <w:tcPr>
            <w:tcW w:w="315" w:type="dxa"/>
            <w:shd w:val="clear" w:color="auto" w:fill="auto"/>
            <w:vAlign w:val="bottom"/>
            <w:hideMark/>
          </w:tcPr>
          <w:p w14:paraId="700584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1EAB26A2" w14:textId="77777777" w:rsidR="00FF6B5A" w:rsidRPr="00FF6B5A" w:rsidRDefault="0067776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7578" w:type="dxa"/>
            <w:shd w:val="clear" w:color="auto" w:fill="auto"/>
            <w:hideMark/>
          </w:tcPr>
          <w:p w14:paraId="2B5657FB" w14:textId="77777777" w:rsidR="00543C52" w:rsidRDefault="00FF6B5A" w:rsidP="00543C52"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 </w:t>
            </w:r>
            <w:hyperlink r:id="rId16" w:tgtFrame="_blank" w:history="1">
              <w:r w:rsidR="00543C52" w:rsidRPr="00F56DBB">
                <w:rPr>
                  <w:rStyle w:val="normaltextrun"/>
                  <w:rFonts w:ascii="Calibri" w:hAnsi="Calibri" w:cs="Calibri"/>
                  <w:color w:val="000000" w:themeColor="text1"/>
                  <w:u w:val="single"/>
                </w:rPr>
                <w:t>https://www.portalvs.sk/regzam/detail/8754?do=filterForm-submit&amp;name=Monika&amp;surname=Jurčová&amp;university=713000000&amp;faculty=713050000&amp;sort=surname&amp;employment_state=yes&amp;filter=Vyhľadať</w:t>
              </w:r>
            </w:hyperlink>
            <w:r w:rsidR="00543C52" w:rsidRPr="00F56DBB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  <w:p w14:paraId="26F5C854" w14:textId="2A7A0A02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6B1C1AC5" w14:textId="77777777" w:rsidTr="44BB2282">
        <w:trPr>
          <w:trHeight w:val="300"/>
        </w:trPr>
        <w:tc>
          <w:tcPr>
            <w:tcW w:w="315" w:type="dxa"/>
            <w:shd w:val="clear" w:color="auto" w:fill="auto"/>
            <w:vAlign w:val="bottom"/>
            <w:hideMark/>
          </w:tcPr>
          <w:p w14:paraId="7C60DAD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2AB7C53E" w14:textId="77777777" w:rsidR="00FF6B5A" w:rsidRPr="00FF6B5A" w:rsidRDefault="0067776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7578" w:type="dxa"/>
            <w:shd w:val="clear" w:color="auto" w:fill="auto"/>
            <w:hideMark/>
          </w:tcPr>
          <w:p w14:paraId="6716A746" w14:textId="1974F718" w:rsidR="00FF6B5A" w:rsidRPr="00FF6B5A" w:rsidRDefault="00FF6B5A" w:rsidP="00422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77760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677760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677760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1FF56F96" w14:textId="77777777" w:rsidTr="44BB2282">
        <w:trPr>
          <w:trHeight w:val="1035"/>
        </w:trPr>
        <w:tc>
          <w:tcPr>
            <w:tcW w:w="315" w:type="dxa"/>
            <w:shd w:val="clear" w:color="auto" w:fill="auto"/>
            <w:vAlign w:val="bottom"/>
          </w:tcPr>
          <w:p w14:paraId="303BD873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5DCE4" w:themeFill="text2" w:themeFillTint="33"/>
            <w:vAlign w:val="center"/>
          </w:tcPr>
          <w:p w14:paraId="02EB8860" w14:textId="2244FCBD" w:rsidR="008E2108" w:rsidRPr="00FF1BD2" w:rsidRDefault="4400D207" w:rsidP="44BB228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4BB2282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7578" w:type="dxa"/>
            <w:shd w:val="clear" w:color="auto" w:fill="auto"/>
          </w:tcPr>
          <w:p w14:paraId="20DB8120" w14:textId="7C824CF7" w:rsidR="008E2108" w:rsidRPr="00FF1BD2" w:rsidRDefault="00543C52" w:rsidP="44BB2282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44BB2282">
              <w:rPr>
                <w:rFonts w:ascii="Calibri" w:eastAsia="Times New Roman" w:hAnsi="Calibri" w:cs="Times New Roman"/>
                <w:lang w:eastAsia="sk-SK"/>
              </w:rPr>
              <w:t>A+</w:t>
            </w:r>
          </w:p>
        </w:tc>
      </w:tr>
      <w:tr w:rsidR="00FF6B5A" w:rsidRPr="00FF6B5A" w14:paraId="518F8B08" w14:textId="77777777" w:rsidTr="44BB2282">
        <w:trPr>
          <w:trHeight w:val="660"/>
        </w:trPr>
        <w:tc>
          <w:tcPr>
            <w:tcW w:w="315" w:type="dxa"/>
            <w:shd w:val="clear" w:color="auto" w:fill="auto"/>
            <w:vAlign w:val="bottom"/>
            <w:hideMark/>
          </w:tcPr>
          <w:p w14:paraId="25C6987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4ED51328" w14:textId="77777777" w:rsidR="00FF6B5A" w:rsidRDefault="00677760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8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5F4CC942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7578" w:type="dxa"/>
            <w:shd w:val="clear" w:color="auto" w:fill="auto"/>
            <w:hideMark/>
          </w:tcPr>
          <w:p w14:paraId="54AD2BE2" w14:textId="6B478074" w:rsidR="00FF6B5A" w:rsidRPr="00F56DBB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lang w:eastAsia="sk-SK"/>
              </w:rPr>
            </w:pPr>
            <w:r w:rsidRPr="00F56DBB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  <w:r w:rsidR="00F56DBB" w:rsidRPr="00F56DBB">
              <w:rPr>
                <w:rFonts w:ascii="Calibri" w:eastAsia="Times New Roman" w:hAnsi="Calibri" w:cs="Times New Roman"/>
                <w:iCs/>
                <w:lang w:eastAsia="sk-SK"/>
              </w:rPr>
              <w:t xml:space="preserve">/ </w:t>
            </w:r>
            <w:proofErr w:type="spellStart"/>
            <w:r w:rsidR="00F56DBB" w:rsidRPr="00F56DBB">
              <w:rPr>
                <w:rFonts w:ascii="Calibri" w:eastAsia="Times New Roman" w:hAnsi="Calibri" w:cs="Times New Roman"/>
                <w:iCs/>
                <w:lang w:eastAsia="sk-SK"/>
              </w:rPr>
              <w:t>scientific</w:t>
            </w:r>
            <w:proofErr w:type="spellEnd"/>
            <w:r w:rsidR="00F56DBB" w:rsidRPr="00F56DBB">
              <w:rPr>
                <w:rFonts w:ascii="Calibri" w:eastAsia="Times New Roman" w:hAnsi="Calibri" w:cs="Times New Roman"/>
                <w:iCs/>
                <w:lang w:eastAsia="sk-SK"/>
              </w:rPr>
              <w:t xml:space="preserve"> </w:t>
            </w:r>
            <w:proofErr w:type="spellStart"/>
            <w:r w:rsidR="00F56DBB" w:rsidRPr="00F56DBB">
              <w:rPr>
                <w:rFonts w:ascii="Calibri" w:eastAsia="Times New Roman" w:hAnsi="Calibri" w:cs="Times New Roman"/>
                <w:iCs/>
                <w:lang w:eastAsia="sk-SK"/>
              </w:rPr>
              <w:t>input</w:t>
            </w:r>
            <w:proofErr w:type="spellEnd"/>
          </w:p>
          <w:p w14:paraId="7A17243B" w14:textId="36C5C4E8" w:rsidR="008E7E49" w:rsidRPr="001F2D04" w:rsidRDefault="008E7E49" w:rsidP="008E7E49">
            <w:pPr>
              <w:rPr>
                <w:rFonts w:ascii="Segoe UI" w:hAnsi="Segoe UI" w:cs="Segoe UI"/>
                <w:i/>
                <w:color w:val="262626"/>
              </w:rPr>
            </w:pPr>
            <w:r w:rsidRPr="001F2D04">
              <w:rPr>
                <w:rStyle w:val="apple-converted-space"/>
                <w:rFonts w:ascii="Segoe UI" w:hAnsi="Segoe UI" w:cs="Segoe UI"/>
                <w:i/>
                <w:color w:val="262626"/>
              </w:rPr>
              <w:t> </w:t>
            </w:r>
          </w:p>
          <w:p w14:paraId="26F21D87" w14:textId="523C5F85" w:rsidR="008E7E49" w:rsidRDefault="008E7E49" w:rsidP="008E7E49"/>
          <w:p w14:paraId="4F4D3256" w14:textId="64D5D528" w:rsidR="008E7E49" w:rsidRDefault="008E7E49" w:rsidP="008E7E49"/>
          <w:p w14:paraId="1FD1E01D" w14:textId="00122F4C" w:rsidR="008E7E49" w:rsidRPr="00422600" w:rsidRDefault="008E7E49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</w:p>
        </w:tc>
      </w:tr>
      <w:tr w:rsidR="00FF6B5A" w:rsidRPr="00FF6B5A" w14:paraId="6CDCFCE9" w14:textId="77777777" w:rsidTr="44BB2282">
        <w:trPr>
          <w:trHeight w:val="510"/>
        </w:trPr>
        <w:tc>
          <w:tcPr>
            <w:tcW w:w="315" w:type="dxa"/>
            <w:shd w:val="clear" w:color="auto" w:fill="auto"/>
            <w:vAlign w:val="bottom"/>
            <w:hideMark/>
          </w:tcPr>
          <w:p w14:paraId="0AD58B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AE3F3"/>
            <w:vAlign w:val="center"/>
            <w:hideMark/>
          </w:tcPr>
          <w:p w14:paraId="3D4AD0F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7578" w:type="dxa"/>
            <w:shd w:val="clear" w:color="auto" w:fill="auto"/>
            <w:hideMark/>
          </w:tcPr>
          <w:p w14:paraId="7A3F639A" w14:textId="21D8C1BF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E7E49">
              <w:rPr>
                <w:rFonts w:ascii="Calibri" w:eastAsia="Times New Roman" w:hAnsi="Calibri" w:cs="Times New Roman"/>
                <w:color w:val="000000"/>
                <w:lang w:eastAsia="sk-SK"/>
              </w:rPr>
              <w:t>2020</w:t>
            </w:r>
          </w:p>
        </w:tc>
      </w:tr>
      <w:tr w:rsidR="00FF6B5A" w:rsidRPr="00FF6B5A" w14:paraId="7E3C7493" w14:textId="77777777" w:rsidTr="44BB2282">
        <w:trPr>
          <w:trHeight w:val="660"/>
        </w:trPr>
        <w:tc>
          <w:tcPr>
            <w:tcW w:w="315" w:type="dxa"/>
            <w:shd w:val="clear" w:color="auto" w:fill="auto"/>
            <w:vAlign w:val="bottom"/>
            <w:hideMark/>
          </w:tcPr>
          <w:p w14:paraId="74DF5B1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37B7A46E" w14:textId="77777777" w:rsidR="00FF6B5A" w:rsidRPr="00FF6B5A" w:rsidRDefault="0067776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7578" w:type="dxa"/>
            <w:shd w:val="clear" w:color="auto" w:fill="auto"/>
            <w:hideMark/>
          </w:tcPr>
          <w:p w14:paraId="29F6CF45" w14:textId="77777777" w:rsidR="00F56DBB" w:rsidRDefault="00F56DBB" w:rsidP="00F56DBB"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ID: 220720 | </w:t>
            </w:r>
            <w:r>
              <w:rPr>
                <w:rStyle w:val="Vrazn"/>
              </w:rPr>
              <w:t xml:space="preserve">Unfair </w:t>
            </w:r>
            <w:proofErr w:type="spellStart"/>
            <w:r>
              <w:rPr>
                <w:rStyle w:val="Vrazn"/>
              </w:rPr>
              <w:t>Contract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Terms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Protection</w:t>
            </w:r>
            <w:proofErr w:type="spellEnd"/>
            <w:r>
              <w:rPr>
                <w:rStyle w:val="Vrazn"/>
              </w:rPr>
              <w:t xml:space="preserve"> in Slovakia</w:t>
            </w:r>
            <w:r>
              <w:rPr>
                <w:rStyle w:val="apple-converted-space"/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/ Jurčová, Monika [Autor, 50%] ;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Csach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, Kristián [Autor, 50%]. – [recenzované]. – DOI 10.5771/0030-6444-2020-1-163</w:t>
            </w:r>
            <w:r>
              <w:rPr>
                <w:rStyle w:val="apple-converted-space"/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 Neue" w:hAnsi="Helvetica Neue"/>
                <w:color w:val="333333"/>
                <w:sz w:val="20"/>
                <w:szCs w:val="20"/>
              </w:rPr>
              <w:br/>
            </w:r>
            <w:r>
              <w:rPr>
                <w:rFonts w:ascii="Helvetica Neue" w:hAnsi="Helvetica Neue"/>
                <w:b/>
                <w:bCs/>
                <w:color w:val="333333"/>
                <w:sz w:val="20"/>
                <w:szCs w:val="20"/>
              </w:rPr>
              <w:t>In:</w:t>
            </w:r>
            <w:r>
              <w:rPr>
                <w:rStyle w:val="apple-converted-space"/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Helvetica Neue" w:hAnsi="Helvetica Neue"/>
                <w:i/>
                <w:iCs/>
                <w:color w:val="333333"/>
                <w:sz w:val="20"/>
                <w:szCs w:val="20"/>
              </w:rPr>
              <w:t>Osteuropa</w:t>
            </w:r>
            <w:proofErr w:type="spellEnd"/>
            <w:r>
              <w:rPr>
                <w:rFonts w:ascii="Helvetica Neue" w:hAnsi="Helvetica Neue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333333"/>
                <w:sz w:val="20"/>
                <w:szCs w:val="20"/>
              </w:rPr>
              <w:t>Recht</w:t>
            </w:r>
            <w:proofErr w:type="spellEnd"/>
            <w:r>
              <w:rPr>
                <w:rStyle w:val="apple-converted-space"/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[textový dokument (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print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)] [elektronický dokument] . –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Baden-Baden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(Nemecko) :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Nomos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Verlagsgesellschaft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Berlin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(Nemecko) :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Berliner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Wissenschafts-Verlag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. – ISSN 0030-6444. – Roč. 66, č. 1 (2020), s. 163-181 [tlačená forma] [online]</w:t>
            </w:r>
          </w:p>
          <w:p w14:paraId="1B2BE6A8" w14:textId="138D8080" w:rsidR="00422600" w:rsidRPr="00FF6B5A" w:rsidRDefault="00422600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88E438E" w14:textId="77777777" w:rsidTr="44BB2282">
        <w:trPr>
          <w:trHeight w:val="525"/>
        </w:trPr>
        <w:tc>
          <w:tcPr>
            <w:tcW w:w="315" w:type="dxa"/>
            <w:shd w:val="clear" w:color="auto" w:fill="auto"/>
            <w:vAlign w:val="bottom"/>
            <w:hideMark/>
          </w:tcPr>
          <w:p w14:paraId="7051186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7222CC29" w14:textId="77777777" w:rsidR="00FF6B5A" w:rsidRPr="00FF6B5A" w:rsidRDefault="0067776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7578" w:type="dxa"/>
            <w:shd w:val="clear" w:color="auto" w:fill="auto"/>
            <w:hideMark/>
          </w:tcPr>
          <w:p w14:paraId="0B5D746C" w14:textId="77777777" w:rsidR="00F56DBB" w:rsidRPr="00F56DBB" w:rsidRDefault="00FF6B5A" w:rsidP="00F5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hyperlink r:id="rId21" w:tgtFrame="_blank" w:history="1">
              <w:r w:rsidR="00F56DBB" w:rsidRPr="00F56DBB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https://app.crepc.sk/?fn=detailBiblioForm&amp;sid=BD3E26F7D5E38D9678D5EB9C66</w:t>
              </w:r>
            </w:hyperlink>
          </w:p>
          <w:p w14:paraId="1B481B18" w14:textId="77777777" w:rsidR="00F56DBB" w:rsidRPr="00F56DBB" w:rsidRDefault="00F56DBB" w:rsidP="00F56DBB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844229D" w14:textId="77777777" w:rsidR="00F56DBB" w:rsidRPr="00F56DBB" w:rsidRDefault="00F56DBB" w:rsidP="00F5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BFF3482" w14:textId="28F0B209" w:rsidR="00FF6B5A" w:rsidRPr="00FF6B5A" w:rsidRDefault="00FF6B5A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86832" w:rsidRPr="00FF6B5A" w14:paraId="77FC843C" w14:textId="77777777" w:rsidTr="44BB2282">
        <w:trPr>
          <w:trHeight w:val="525"/>
        </w:trPr>
        <w:tc>
          <w:tcPr>
            <w:tcW w:w="315" w:type="dxa"/>
            <w:shd w:val="clear" w:color="auto" w:fill="auto"/>
            <w:vAlign w:val="bottom"/>
          </w:tcPr>
          <w:p w14:paraId="14C280BF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</w:tcPr>
          <w:p w14:paraId="04D1D0EB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7578" w:type="dxa"/>
            <w:shd w:val="clear" w:color="auto" w:fill="auto"/>
          </w:tcPr>
          <w:p w14:paraId="00487D53" w14:textId="77777777" w:rsidR="00C86832" w:rsidRPr="00FF6B5A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2C5D4378" w14:textId="77777777" w:rsidTr="44BB2282">
        <w:trPr>
          <w:trHeight w:val="1065"/>
        </w:trPr>
        <w:tc>
          <w:tcPr>
            <w:tcW w:w="315" w:type="dxa"/>
            <w:shd w:val="clear" w:color="auto" w:fill="auto"/>
            <w:vAlign w:val="bottom"/>
            <w:hideMark/>
          </w:tcPr>
          <w:p w14:paraId="2D69DCA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vMerge w:val="restart"/>
            <w:shd w:val="clear" w:color="auto" w:fill="DAE3F3"/>
            <w:textDirection w:val="btLr"/>
            <w:vAlign w:val="center"/>
            <w:hideMark/>
          </w:tcPr>
          <w:p w14:paraId="51428EE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2025" w:type="dxa"/>
            <w:shd w:val="clear" w:color="auto" w:fill="D9E1F2"/>
            <w:vAlign w:val="center"/>
            <w:hideMark/>
          </w:tcPr>
          <w:p w14:paraId="01719335" w14:textId="77777777" w:rsidR="00FF6B5A" w:rsidRPr="00FF6B5A" w:rsidRDefault="0067776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7578" w:type="dxa"/>
            <w:shd w:val="clear" w:color="auto" w:fill="auto"/>
            <w:hideMark/>
          </w:tcPr>
          <w:p w14:paraId="7D2916D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</w:tc>
      </w:tr>
      <w:tr w:rsidR="00FF6B5A" w:rsidRPr="00FF6B5A" w14:paraId="7F44C330" w14:textId="77777777" w:rsidTr="44BB2282">
        <w:trPr>
          <w:trHeight w:val="1515"/>
        </w:trPr>
        <w:tc>
          <w:tcPr>
            <w:tcW w:w="315" w:type="dxa"/>
            <w:shd w:val="clear" w:color="auto" w:fill="auto"/>
            <w:vAlign w:val="bottom"/>
            <w:hideMark/>
          </w:tcPr>
          <w:p w14:paraId="10F2150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321E985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25" w:type="dxa"/>
            <w:shd w:val="clear" w:color="auto" w:fill="DAE3F3"/>
            <w:vAlign w:val="center"/>
            <w:hideMark/>
          </w:tcPr>
          <w:p w14:paraId="5AC755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7578" w:type="dxa"/>
            <w:shd w:val="clear" w:color="auto" w:fill="auto"/>
            <w:hideMark/>
          </w:tcPr>
          <w:p w14:paraId="2C1A1282" w14:textId="07B649C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BC3494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047C5B08" w14:textId="77777777" w:rsidTr="44BB2282">
        <w:trPr>
          <w:trHeight w:val="1290"/>
        </w:trPr>
        <w:tc>
          <w:tcPr>
            <w:tcW w:w="315" w:type="dxa"/>
            <w:shd w:val="clear" w:color="auto" w:fill="auto"/>
            <w:vAlign w:val="bottom"/>
            <w:hideMark/>
          </w:tcPr>
          <w:p w14:paraId="0C0110F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FF45F0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25" w:type="dxa"/>
            <w:shd w:val="clear" w:color="auto" w:fill="D9E1F2"/>
            <w:vAlign w:val="center"/>
            <w:hideMark/>
          </w:tcPr>
          <w:p w14:paraId="7CEF133E" w14:textId="77777777" w:rsidR="00FF6B5A" w:rsidRPr="00FF6B5A" w:rsidRDefault="00677760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7578" w:type="dxa"/>
            <w:shd w:val="clear" w:color="auto" w:fill="auto"/>
            <w:hideMark/>
          </w:tcPr>
          <w:p w14:paraId="7AC22117" w14:textId="642AE48B" w:rsidR="00FF6B5A" w:rsidRPr="00087B3E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BC3494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11DB7B66" w14:textId="77777777" w:rsidTr="44BB2282">
        <w:trPr>
          <w:trHeight w:val="1110"/>
        </w:trPr>
        <w:tc>
          <w:tcPr>
            <w:tcW w:w="315" w:type="dxa"/>
            <w:shd w:val="clear" w:color="auto" w:fill="auto"/>
            <w:vAlign w:val="bottom"/>
            <w:hideMark/>
          </w:tcPr>
          <w:p w14:paraId="31BCF62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393B40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25" w:type="dxa"/>
            <w:shd w:val="clear" w:color="auto" w:fill="DAE3F3"/>
            <w:vAlign w:val="center"/>
            <w:hideMark/>
          </w:tcPr>
          <w:p w14:paraId="3138B3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7578" w:type="dxa"/>
            <w:shd w:val="clear" w:color="auto" w:fill="auto"/>
            <w:hideMark/>
          </w:tcPr>
          <w:p w14:paraId="6753B88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6661205" w14:textId="77777777" w:rsidTr="44BB2282">
        <w:trPr>
          <w:trHeight w:val="765"/>
        </w:trPr>
        <w:tc>
          <w:tcPr>
            <w:tcW w:w="315" w:type="dxa"/>
            <w:shd w:val="clear" w:color="auto" w:fill="auto"/>
            <w:vAlign w:val="bottom"/>
            <w:hideMark/>
          </w:tcPr>
          <w:p w14:paraId="2C19B5C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160205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25" w:type="dxa"/>
            <w:shd w:val="clear" w:color="auto" w:fill="DAE3F3"/>
            <w:vAlign w:val="center"/>
            <w:hideMark/>
          </w:tcPr>
          <w:p w14:paraId="0FC64DA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7578" w:type="dxa"/>
            <w:shd w:val="clear" w:color="auto" w:fill="auto"/>
            <w:hideMark/>
          </w:tcPr>
          <w:p w14:paraId="459EC12F" w14:textId="3A28395C" w:rsidR="00FF6B5A" w:rsidRPr="00FF6B5A" w:rsidRDefault="0D8018E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Spoluautor/ </w:t>
            </w:r>
            <w:proofErr w:type="spellStart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</w:t>
            </w:r>
            <w:proofErr w:type="spellEnd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- </w:t>
            </w:r>
            <w:proofErr w:type="spellStart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author</w:t>
            </w:r>
            <w:proofErr w:type="spellEnd"/>
          </w:p>
        </w:tc>
      </w:tr>
      <w:tr w:rsidR="00FF6B5A" w:rsidRPr="00FF6B5A" w14:paraId="43D2DB01" w14:textId="77777777" w:rsidTr="44BB2282">
        <w:trPr>
          <w:trHeight w:val="2310"/>
        </w:trPr>
        <w:tc>
          <w:tcPr>
            <w:tcW w:w="315" w:type="dxa"/>
            <w:shd w:val="clear" w:color="auto" w:fill="auto"/>
            <w:vAlign w:val="bottom"/>
            <w:hideMark/>
          </w:tcPr>
          <w:p w14:paraId="44CE43E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380EBE2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25" w:type="dxa"/>
            <w:shd w:val="clear" w:color="auto" w:fill="D9E1F2"/>
            <w:vAlign w:val="center"/>
            <w:hideMark/>
          </w:tcPr>
          <w:p w14:paraId="28A250A3" w14:textId="77777777" w:rsidR="00FF6B5A" w:rsidRPr="00FF6B5A" w:rsidRDefault="0067776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7578" w:type="dxa"/>
            <w:shd w:val="clear" w:color="auto" w:fill="auto"/>
            <w:hideMark/>
          </w:tcPr>
          <w:p w14:paraId="75FC4EF5" w14:textId="77777777" w:rsidR="00FF6B5A" w:rsidRPr="00FF1BD2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6B6E13B9" w14:textId="77777777" w:rsidR="00422600" w:rsidRPr="00FF1BD2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  <w:p w14:paraId="78F790D2" w14:textId="664324E7" w:rsidR="00422600" w:rsidRDefault="6027C0A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Predložený príspevok vznikol na zákl</w:t>
            </w:r>
            <w:r w:rsidR="633FC677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</w:t>
            </w:r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de </w:t>
            </w:r>
            <w:r w:rsidR="43098605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v</w:t>
            </w:r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ýzvy </w:t>
            </w:r>
            <w:proofErr w:type="spellStart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zostaviteľa</w:t>
            </w:r>
            <w:proofErr w:type="spellEnd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, pričom cieľom bolo pripraviť monotematické vydanie renomovaného recenzovaného časopisu, ktorý preds</w:t>
            </w:r>
            <w:r w:rsidR="09019BF5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ta</w:t>
            </w:r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ví problem</w:t>
            </w:r>
            <w:r w:rsidR="24FF988B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atiku</w:t>
            </w:r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unfair </w:t>
            </w:r>
            <w:proofErr w:type="spellStart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terms</w:t>
            </w:r>
            <w:proofErr w:type="spellEnd"/>
            <w:r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 harmo</w:t>
            </w:r>
            <w:r w:rsidR="75EF5781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nizovan</w:t>
            </w:r>
            <w:r w:rsidR="74D87AB0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ú</w:t>
            </w:r>
            <w:r w:rsidR="75EF5781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smernicou tak ako sa vyvinula v jednotlivých členských štátoch relevantného okruhu členov EÚ.</w:t>
            </w:r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/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present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paper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is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based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on a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call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by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editor,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aim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which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was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to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prepare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monothematic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issue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a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reputable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peer-reviewed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journal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presenting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issue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unfair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terms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harmonised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by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Directive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as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it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has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developed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in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individual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Member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States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relevant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range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EU </w:t>
            </w:r>
            <w:proofErr w:type="spellStart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members</w:t>
            </w:r>
            <w:proofErr w:type="spellEnd"/>
            <w:r w:rsidR="69222AB9" w:rsidRPr="17101AB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.</w:t>
            </w:r>
          </w:p>
          <w:p w14:paraId="4C7BC8CA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7CFF4012" w14:textId="77777777" w:rsidTr="44BB2282">
        <w:trPr>
          <w:trHeight w:val="915"/>
        </w:trPr>
        <w:tc>
          <w:tcPr>
            <w:tcW w:w="315" w:type="dxa"/>
            <w:shd w:val="clear" w:color="auto" w:fill="auto"/>
            <w:vAlign w:val="bottom"/>
            <w:hideMark/>
          </w:tcPr>
          <w:p w14:paraId="0B28853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9E1F2"/>
            <w:vAlign w:val="center"/>
            <w:hideMark/>
          </w:tcPr>
          <w:p w14:paraId="2C8C40C4" w14:textId="77777777" w:rsidR="00FF6B5A" w:rsidRPr="00FF6B5A" w:rsidRDefault="0067776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7578" w:type="dxa"/>
            <w:shd w:val="clear" w:color="auto" w:fill="auto"/>
            <w:hideMark/>
          </w:tcPr>
          <w:p w14:paraId="1B9D5D3F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169C4FBA" w14:textId="77777777" w:rsidR="00FF1BD2" w:rsidRPr="00FF1BD2" w:rsidRDefault="00FF1BD2" w:rsidP="00FF1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unfair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contract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terms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protection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currently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regulated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a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system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 Civil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Code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path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current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extent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protection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has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very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straightforward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article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analyses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legislative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framework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unfair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terms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and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questions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enforcement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further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outlines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selected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empirical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evidence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“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surprising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contract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terms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,”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transparency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a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contract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term,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legislative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power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judiciary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discusses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controversial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German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approach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resolve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conflicts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revolving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around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unfair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clauses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article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concludes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current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unfair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terms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contracts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seems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fulfil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requirements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set by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UCTD;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however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all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all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Slovakia’s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natio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‐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nal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remains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fragmented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Civil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Code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Act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Protection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special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sectoral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supplemented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special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procedural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FF1B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</w:p>
          <w:p w14:paraId="7F0EFCA5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78BE4C7" w14:textId="77777777" w:rsidTr="44BB2282">
        <w:trPr>
          <w:trHeight w:val="810"/>
        </w:trPr>
        <w:tc>
          <w:tcPr>
            <w:tcW w:w="315" w:type="dxa"/>
            <w:shd w:val="clear" w:color="auto" w:fill="auto"/>
            <w:vAlign w:val="bottom"/>
            <w:hideMark/>
          </w:tcPr>
          <w:p w14:paraId="6749F5B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AE3F3"/>
            <w:vAlign w:val="center"/>
            <w:hideMark/>
          </w:tcPr>
          <w:p w14:paraId="1B652F9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7578" w:type="dxa"/>
            <w:shd w:val="clear" w:color="auto" w:fill="auto"/>
            <w:hideMark/>
          </w:tcPr>
          <w:p w14:paraId="13DFD58E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  <w:p w14:paraId="2A5087A2" w14:textId="77777777" w:rsidR="00654C0A" w:rsidRPr="00654C0A" w:rsidRDefault="00654C0A" w:rsidP="00654C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220714: Der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Schutz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des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Schwächeren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im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slowakischen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Zivilrecht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=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protection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under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Slovakian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civil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Dobrovodský, Róbert [Autor, 100%]. – [recenzované]. – DOI 10.5771/0030-6444-2020-1-104 </w:t>
            </w:r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654C0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Pr="00654C0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Osteuropa</w:t>
            </w:r>
            <w:proofErr w:type="spellEnd"/>
            <w:r w:rsidRPr="00654C0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Recht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[elektronický dokument] . –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Baden-Baden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(Nemecko) :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Nomos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Verlagsgesellschaft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Berlin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(Nemecko) :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Berliner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Wissenschafts-Verlag</w:t>
            </w:r>
            <w:proofErr w:type="spellEnd"/>
            <w:r w:rsidRPr="00654C0A">
              <w:rPr>
                <w:rFonts w:ascii="Calibri" w:eastAsia="Times New Roman" w:hAnsi="Calibri" w:cs="Times New Roman"/>
                <w:color w:val="000000"/>
                <w:lang w:eastAsia="sk-SK"/>
              </w:rPr>
              <w:t>. – ISSN 0030-6444. – Roč. 66, č. 1 (2020), s. 104-128 [tlačená forma] [online]</w:t>
            </w:r>
          </w:p>
          <w:p w14:paraId="0D105B51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7FE52C1" w14:textId="77777777" w:rsidTr="44BB2282">
        <w:trPr>
          <w:trHeight w:val="1170"/>
        </w:trPr>
        <w:tc>
          <w:tcPr>
            <w:tcW w:w="315" w:type="dxa"/>
            <w:shd w:val="clear" w:color="auto" w:fill="auto"/>
            <w:vAlign w:val="bottom"/>
            <w:hideMark/>
          </w:tcPr>
          <w:p w14:paraId="5CD4828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AE3F3"/>
            <w:vAlign w:val="center"/>
            <w:hideMark/>
          </w:tcPr>
          <w:p w14:paraId="5FA065E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7578" w:type="dxa"/>
            <w:shd w:val="clear" w:color="auto" w:fill="auto"/>
            <w:hideMark/>
          </w:tcPr>
          <w:p w14:paraId="231245EC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6F4E0CCD" w14:textId="77777777" w:rsidR="00416150" w:rsidRDefault="0041615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Právna regulácia neprijateľných podmienok, ochrana spotrebiteľov a vynútenie práv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spotrebiteľlov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má spoločný európsky právny základ, ale národné špecifiká. Z toho dôvodu je dôležité aj v zahraničí prezentovať výsledky právnej vedy a praxe v tejto oblasti, poukázať na problémy, nezrovnalosti, cestu vpred výhody a nevýhody, ďalšie smerovanie.</w:t>
            </w:r>
          </w:p>
          <w:p w14:paraId="562529DD" w14:textId="77777777" w:rsidR="00416150" w:rsidRDefault="0041615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Najmä v období revízie a modernizácie spotrebiteľského práva na úrovni EÚ  je vedecký výstup slovenskej právnej vedy v renomovanom zahraničnom časopise potvrdením jej miesta v európskom právnom diskurze.</w:t>
            </w:r>
          </w:p>
          <w:p w14:paraId="0A117BFC" w14:textId="77777777" w:rsidR="00416150" w:rsidRPr="00416150" w:rsidRDefault="00416150" w:rsidP="00416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unfair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terms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protection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enforcement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rights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share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common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basis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but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have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national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specificities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reason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also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important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present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results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science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area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abroad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to point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out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problems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inconsistencies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way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forward,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advantages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disadvantages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and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way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forward.</w:t>
            </w:r>
          </w:p>
          <w:p w14:paraId="27717E12" w14:textId="5BCE1F34" w:rsidR="00416150" w:rsidRPr="00FF6B5A" w:rsidRDefault="00416150" w:rsidP="00416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Especially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period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revision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modernisation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at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EU level,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of Slovak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science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renowned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foreign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journal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confirmation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place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discourse</w:t>
            </w:r>
            <w:proofErr w:type="spellEnd"/>
            <w:r w:rsidRPr="0041615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6FDEE2BC" w14:textId="77777777" w:rsidTr="44BB2282">
        <w:trPr>
          <w:trHeight w:val="1290"/>
        </w:trPr>
        <w:tc>
          <w:tcPr>
            <w:tcW w:w="315" w:type="dxa"/>
            <w:shd w:val="clear" w:color="auto" w:fill="auto"/>
            <w:vAlign w:val="bottom"/>
            <w:hideMark/>
          </w:tcPr>
          <w:p w14:paraId="02B984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80" w:type="dxa"/>
            <w:gridSpan w:val="2"/>
            <w:shd w:val="clear" w:color="auto" w:fill="DAE3F3"/>
            <w:vAlign w:val="center"/>
            <w:hideMark/>
          </w:tcPr>
          <w:p w14:paraId="2213E97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7578" w:type="dxa"/>
            <w:shd w:val="clear" w:color="auto" w:fill="auto"/>
            <w:hideMark/>
          </w:tcPr>
          <w:p w14:paraId="1507C920" w14:textId="7F46E4F3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Spotrebiteľské právo je súčasťou vzdelávacieho procesu na právnických fakultách, keďže kreuje významnú časť obligačných vzťahov. Študenti si </w:t>
            </w:r>
            <w:proofErr w:type="spellStart"/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zároveń</w:t>
            </w:r>
            <w:proofErr w:type="spellEnd"/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musia byť vedomí európskych aspektov a zdrojov tejto problematiky, významu  rozhodovacej činnosti európskych súdnych autorít a potreby jednotného výkladu európskeho spotrebiteľského práva. Vedecký výstup v komparatívnom kontexte časopisu podčiarkuje pre nich doteraz </w:t>
            </w:r>
            <w:proofErr w:type="spellStart"/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nepozznané</w:t>
            </w:r>
            <w:proofErr w:type="spellEnd"/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aspekty problematiky a</w:t>
            </w:r>
            <w:r w:rsidR="004E485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tiež</w:t>
            </w:r>
            <w:r w:rsidR="004E485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prispieva k zlepšeniu úrovne práce s vedeckým textom v cudzom jazyku so zreteľom na pretlmočenie slovenských </w:t>
            </w:r>
            <w:proofErr w:type="spellStart"/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reálíí</w:t>
            </w:r>
            <w:proofErr w:type="spellEnd"/>
            <w:r w:rsid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 anglického jazyka.</w:t>
            </w:r>
          </w:p>
          <w:p w14:paraId="70F13082" w14:textId="5562317A" w:rsidR="003A3C2F" w:rsidRPr="00FF6B5A" w:rsidRDefault="003A3C2F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part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at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faculties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as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creates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an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important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part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obligatory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At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same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time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students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must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be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aware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aspects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sources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subject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importance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decision-making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judicial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authorities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need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uniform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interpretation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consumer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journal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highlights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them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hitherto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unknown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aspects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issue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also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contributes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improvement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level of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foreign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language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regard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translation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Slovak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realities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 w:rsidRPr="003A3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English.</w:t>
            </w:r>
          </w:p>
        </w:tc>
      </w:tr>
      <w:tr w:rsidR="00FF6B5A" w:rsidRPr="00FF6B5A" w14:paraId="51FB8844" w14:textId="77777777" w:rsidTr="44BB2282">
        <w:trPr>
          <w:trHeight w:val="204"/>
        </w:trPr>
        <w:tc>
          <w:tcPr>
            <w:tcW w:w="315" w:type="dxa"/>
            <w:shd w:val="clear" w:color="auto" w:fill="auto"/>
            <w:vAlign w:val="bottom"/>
            <w:hideMark/>
          </w:tcPr>
          <w:p w14:paraId="54AD3BB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5" w:type="dxa"/>
            <w:shd w:val="clear" w:color="auto" w:fill="auto"/>
            <w:vAlign w:val="center"/>
            <w:hideMark/>
          </w:tcPr>
          <w:p w14:paraId="14D880D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14:paraId="50D4B6FD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78" w:type="dxa"/>
            <w:shd w:val="clear" w:color="auto" w:fill="auto"/>
            <w:hideMark/>
          </w:tcPr>
          <w:p w14:paraId="0B7CE8C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39A76E59" w14:textId="77777777" w:rsidR="00502F15" w:rsidRDefault="00502F15"/>
    <w:p w14:paraId="67411768" w14:textId="77777777" w:rsidR="00C86832" w:rsidRDefault="00C86832"/>
    <w:p w14:paraId="472BF122" w14:textId="77777777" w:rsidR="00C86832" w:rsidRPr="00FF6B5A" w:rsidRDefault="00C86832">
      <w:r w:rsidRPr="00C86832">
        <w:t>https://app.crepc.sk/?fn=detailBiblioFormChildG1J2D&amp;sid=D0F7DA0282A4E6146F8ADDC9&amp;seo=CREP%C4%8C-detail-kniha</w:t>
      </w:r>
    </w:p>
    <w:sectPr w:rsidR="00C86832" w:rsidRPr="00FF6B5A" w:rsidSect="008E210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57FD" w14:textId="77777777" w:rsidR="00CE7433" w:rsidRDefault="00CE7433" w:rsidP="00816E73">
      <w:pPr>
        <w:spacing w:after="0" w:line="240" w:lineRule="auto"/>
      </w:pPr>
      <w:r>
        <w:separator/>
      </w:r>
    </w:p>
  </w:endnote>
  <w:endnote w:type="continuationSeparator" w:id="0">
    <w:p w14:paraId="560F2B51" w14:textId="77777777" w:rsidR="00CE7433" w:rsidRDefault="00CE7433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5B01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9014" w14:textId="77777777" w:rsidR="00A23768" w:rsidRDefault="00A23768">
    <w:pPr>
      <w:pStyle w:val="Pta"/>
    </w:pPr>
    <w:r w:rsidRPr="00A23768">
      <w:t>T_Z_VTCAj_1/ 2020</w:t>
    </w:r>
  </w:p>
  <w:p w14:paraId="0EDA3925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C3DB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ADF6" w14:textId="77777777" w:rsidR="00CE7433" w:rsidRDefault="00CE7433" w:rsidP="00816E73">
      <w:pPr>
        <w:spacing w:after="0" w:line="240" w:lineRule="auto"/>
      </w:pPr>
      <w:r>
        <w:separator/>
      </w:r>
    </w:p>
  </w:footnote>
  <w:footnote w:type="continuationSeparator" w:id="0">
    <w:p w14:paraId="4F75A508" w14:textId="77777777" w:rsidR="00CE7433" w:rsidRDefault="00CE7433" w:rsidP="00816E73">
      <w:pPr>
        <w:spacing w:after="0" w:line="240" w:lineRule="auto"/>
      </w:pPr>
      <w:r>
        <w:continuationSeparator/>
      </w:r>
    </w:p>
  </w:footnote>
  <w:footnote w:id="1">
    <w:p w14:paraId="23A299BA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2FF03C3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E42633E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43E61EE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E3BAA60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20422C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73B625F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2DDA9AF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3677F5C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F8D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A435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8FE7975" wp14:editId="55867E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8634A56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6AC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A7A30"/>
    <w:multiLevelType w:val="multilevel"/>
    <w:tmpl w:val="C66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23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D"/>
    <w:rsid w:val="0007243E"/>
    <w:rsid w:val="0008088C"/>
    <w:rsid w:val="00087B3E"/>
    <w:rsid w:val="00102D82"/>
    <w:rsid w:val="00112F47"/>
    <w:rsid w:val="00134521"/>
    <w:rsid w:val="001A42DD"/>
    <w:rsid w:val="001F26CD"/>
    <w:rsid w:val="001F2D04"/>
    <w:rsid w:val="00222794"/>
    <w:rsid w:val="002846C8"/>
    <w:rsid w:val="003A3C2F"/>
    <w:rsid w:val="00416150"/>
    <w:rsid w:val="00422600"/>
    <w:rsid w:val="0044708B"/>
    <w:rsid w:val="004D3FFD"/>
    <w:rsid w:val="004D5CBD"/>
    <w:rsid w:val="004E4845"/>
    <w:rsid w:val="004E4856"/>
    <w:rsid w:val="00502F15"/>
    <w:rsid w:val="00532FE9"/>
    <w:rsid w:val="00543C52"/>
    <w:rsid w:val="00572798"/>
    <w:rsid w:val="00654C0A"/>
    <w:rsid w:val="006621A5"/>
    <w:rsid w:val="00675F63"/>
    <w:rsid w:val="00677760"/>
    <w:rsid w:val="006849EB"/>
    <w:rsid w:val="006F6B13"/>
    <w:rsid w:val="00710533"/>
    <w:rsid w:val="00816E73"/>
    <w:rsid w:val="00852CC7"/>
    <w:rsid w:val="008B78D7"/>
    <w:rsid w:val="008E2108"/>
    <w:rsid w:val="008E7E49"/>
    <w:rsid w:val="009547F9"/>
    <w:rsid w:val="00975300"/>
    <w:rsid w:val="009770A6"/>
    <w:rsid w:val="00980601"/>
    <w:rsid w:val="00A23768"/>
    <w:rsid w:val="00B15040"/>
    <w:rsid w:val="00BA1526"/>
    <w:rsid w:val="00BC3494"/>
    <w:rsid w:val="00C40D4D"/>
    <w:rsid w:val="00C86832"/>
    <w:rsid w:val="00CC62C8"/>
    <w:rsid w:val="00CE7433"/>
    <w:rsid w:val="00CF796A"/>
    <w:rsid w:val="00D64B7C"/>
    <w:rsid w:val="00D733AB"/>
    <w:rsid w:val="00DF77E6"/>
    <w:rsid w:val="00EC403D"/>
    <w:rsid w:val="00F56DBB"/>
    <w:rsid w:val="00FE27EC"/>
    <w:rsid w:val="00FF1BD2"/>
    <w:rsid w:val="00FF6B5A"/>
    <w:rsid w:val="09019BF5"/>
    <w:rsid w:val="0D8018E8"/>
    <w:rsid w:val="17101AB6"/>
    <w:rsid w:val="23257A6D"/>
    <w:rsid w:val="24FF988B"/>
    <w:rsid w:val="3E6D1607"/>
    <w:rsid w:val="43098605"/>
    <w:rsid w:val="4400D207"/>
    <w:rsid w:val="44BB2282"/>
    <w:rsid w:val="4E48DC6B"/>
    <w:rsid w:val="51C2C819"/>
    <w:rsid w:val="6027C0A8"/>
    <w:rsid w:val="633FC677"/>
    <w:rsid w:val="69222AB9"/>
    <w:rsid w:val="6F920981"/>
    <w:rsid w:val="74D87AB0"/>
    <w:rsid w:val="75157598"/>
    <w:rsid w:val="75E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0DE"/>
  <w15:docId w15:val="{862BBE52-D221-6C49-8F5C-791438B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customStyle="1" w:styleId="normaltextrun">
    <w:name w:val="normaltextrun"/>
    <w:basedOn w:val="Predvolenpsmoodseku"/>
    <w:rsid w:val="00543C52"/>
  </w:style>
  <w:style w:type="character" w:customStyle="1" w:styleId="eop">
    <w:name w:val="eop"/>
    <w:basedOn w:val="Predvolenpsmoodseku"/>
    <w:rsid w:val="00543C52"/>
  </w:style>
  <w:style w:type="character" w:customStyle="1" w:styleId="apple-converted-space">
    <w:name w:val="apple-converted-space"/>
    <w:basedOn w:val="Predvolenpsmoodseku"/>
    <w:rsid w:val="008E7E49"/>
  </w:style>
  <w:style w:type="character" w:customStyle="1" w:styleId="highlight">
    <w:name w:val="highlight"/>
    <w:basedOn w:val="Predvolenpsmoodseku"/>
    <w:rsid w:val="008E7E49"/>
  </w:style>
  <w:style w:type="character" w:customStyle="1" w:styleId="spellingerror">
    <w:name w:val="spellingerror"/>
    <w:basedOn w:val="Predvolenpsmoodseku"/>
    <w:rsid w:val="008E7E49"/>
  </w:style>
  <w:style w:type="character" w:customStyle="1" w:styleId="bcx4">
    <w:name w:val="bcx4"/>
    <w:basedOn w:val="Predvolenpsmoodseku"/>
    <w:rsid w:val="008E7E49"/>
  </w:style>
  <w:style w:type="character" w:customStyle="1" w:styleId="findhit">
    <w:name w:val="findhit"/>
    <w:basedOn w:val="Predvolenpsmoodseku"/>
    <w:rsid w:val="008E7E49"/>
  </w:style>
  <w:style w:type="character" w:styleId="Nevyrieenzmienka">
    <w:name w:val="Unresolved Mention"/>
    <w:basedOn w:val="Predvolenpsmoodseku"/>
    <w:uiPriority w:val="99"/>
    <w:semiHidden/>
    <w:unhideWhenUsed/>
    <w:rsid w:val="00F5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pp.crepc.sk/?fn=detailBiblioForm&amp;sid=BD3E26F7D5E38D9678D5EB9C66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alvs.sk/regzam/detail/8754?do=filterForm-submit&amp;name=Monika&amp;surname=Jur&#269;ov&#225;&amp;university=713000000&amp;faculty=713050000&amp;sort=surname&amp;employment_state=yes&amp;filter=Vyh&#318;ada&#357;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B56B1-7603-438C-ACAA-C425B007A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3CE5A-61E9-4F2D-BC80-539ABB47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F9C1D-93C7-4D06-AFB0-21C9418DE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1997</Words>
  <Characters>11386</Characters>
  <Application>Microsoft Office Word</Application>
  <DocSecurity>0</DocSecurity>
  <Lines>94</Lines>
  <Paragraphs>26</Paragraphs>
  <ScaleCrop>false</ScaleCrop>
  <Company>Trnavska univerzita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6</cp:revision>
  <dcterms:created xsi:type="dcterms:W3CDTF">2022-01-11T10:11:00Z</dcterms:created>
  <dcterms:modified xsi:type="dcterms:W3CDTF">2025-11-04T12:45:00Z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