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1" w:type="dxa"/>
        <w:tblInd w:w="-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316"/>
        <w:gridCol w:w="1725"/>
        <w:gridCol w:w="6800"/>
      </w:tblGrid>
      <w:tr w:rsidR="00FF6B5A" w:rsidRPr="00940BAC" w14:paraId="6310AA65" w14:textId="77777777" w:rsidTr="292B8FC6">
        <w:trPr>
          <w:trHeight w:val="204"/>
        </w:trPr>
        <w:tc>
          <w:tcPr>
            <w:tcW w:w="160" w:type="dxa"/>
            <w:shd w:val="clear" w:color="auto" w:fill="auto"/>
            <w:vAlign w:val="bottom"/>
            <w:hideMark/>
          </w:tcPr>
          <w:p w14:paraId="3D422348" w14:textId="77777777" w:rsidR="00FF6B5A" w:rsidRPr="00940BAC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2D50492A" w14:textId="77777777" w:rsidR="00FF6B5A" w:rsidRPr="00940BAC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14:paraId="7C139916" w14:textId="77777777" w:rsidR="00FF6B5A" w:rsidRPr="00940BAC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6800" w:type="dxa"/>
            <w:shd w:val="clear" w:color="auto" w:fill="auto"/>
            <w:hideMark/>
          </w:tcPr>
          <w:p w14:paraId="16E4D01D" w14:textId="77777777" w:rsidR="00FF6B5A" w:rsidRPr="00940BAC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940BAC" w14:paraId="7317C696" w14:textId="77777777" w:rsidTr="292B8FC6">
        <w:trPr>
          <w:trHeight w:val="450"/>
        </w:trPr>
        <w:tc>
          <w:tcPr>
            <w:tcW w:w="160" w:type="dxa"/>
            <w:shd w:val="clear" w:color="auto" w:fill="auto"/>
            <w:vAlign w:val="center"/>
            <w:hideMark/>
          </w:tcPr>
          <w:p w14:paraId="1165D7EF" w14:textId="77777777" w:rsidR="00FF6B5A" w:rsidRPr="00940BAC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841" w:type="dxa"/>
            <w:gridSpan w:val="3"/>
            <w:vMerge w:val="restart"/>
            <w:shd w:val="clear" w:color="auto" w:fill="2F5597"/>
            <w:vAlign w:val="center"/>
            <w:hideMark/>
          </w:tcPr>
          <w:p w14:paraId="0B19AD3D" w14:textId="77777777" w:rsidR="00FF6B5A" w:rsidRPr="00940BAC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Charakteristika predkladaného výstupu tvorivej činnosti / </w:t>
            </w:r>
            <w:r w:rsidRPr="00940BAC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br/>
            </w:r>
            <w:proofErr w:type="spellStart"/>
            <w:r w:rsidRPr="00940BAC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Characteristics</w:t>
            </w:r>
            <w:proofErr w:type="spellEnd"/>
            <w:r w:rsidRPr="00940BAC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of </w:t>
            </w:r>
            <w:proofErr w:type="spellStart"/>
            <w:r w:rsidRPr="00940BAC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the</w:t>
            </w:r>
            <w:proofErr w:type="spellEnd"/>
            <w:r w:rsidRPr="00940BAC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submitted</w:t>
            </w:r>
            <w:proofErr w:type="spellEnd"/>
            <w:r w:rsidRPr="00940BAC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research</w:t>
            </w:r>
            <w:proofErr w:type="spellEnd"/>
            <w:r w:rsidRPr="00940BAC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/ </w:t>
            </w:r>
            <w:proofErr w:type="spellStart"/>
            <w:r w:rsidRPr="00940BAC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artistic</w:t>
            </w:r>
            <w:proofErr w:type="spellEnd"/>
            <w:r w:rsidRPr="00940BAC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/</w:t>
            </w:r>
            <w:proofErr w:type="spellStart"/>
            <w:r w:rsidRPr="00940BAC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other</w:t>
            </w:r>
            <w:proofErr w:type="spellEnd"/>
            <w:r w:rsidRPr="00940BAC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output</w:t>
            </w:r>
          </w:p>
        </w:tc>
      </w:tr>
      <w:tr w:rsidR="00FF6B5A" w:rsidRPr="00940BAC" w14:paraId="1856B225" w14:textId="77777777" w:rsidTr="292B8FC6">
        <w:trPr>
          <w:trHeight w:val="450"/>
        </w:trPr>
        <w:tc>
          <w:tcPr>
            <w:tcW w:w="160" w:type="dxa"/>
            <w:shd w:val="clear" w:color="auto" w:fill="auto"/>
            <w:vAlign w:val="center"/>
            <w:hideMark/>
          </w:tcPr>
          <w:p w14:paraId="722A68FE" w14:textId="77777777" w:rsidR="00FF6B5A" w:rsidRPr="00940BAC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  <w:tc>
          <w:tcPr>
            <w:tcW w:w="8841" w:type="dxa"/>
            <w:gridSpan w:val="3"/>
            <w:vMerge/>
            <w:vAlign w:val="center"/>
            <w:hideMark/>
          </w:tcPr>
          <w:p w14:paraId="600AC5E4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</w:tr>
      <w:tr w:rsidR="00FF6B5A" w:rsidRPr="00940BAC" w14:paraId="187368C3" w14:textId="77777777" w:rsidTr="292B8FC6">
        <w:trPr>
          <w:trHeight w:val="60"/>
        </w:trPr>
        <w:tc>
          <w:tcPr>
            <w:tcW w:w="160" w:type="dxa"/>
            <w:shd w:val="clear" w:color="auto" w:fill="auto"/>
            <w:vAlign w:val="bottom"/>
            <w:hideMark/>
          </w:tcPr>
          <w:p w14:paraId="50FCE1A6" w14:textId="77777777" w:rsidR="00FF6B5A" w:rsidRPr="00940BAC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10697D97" w14:textId="77777777" w:rsidR="00FF6B5A" w:rsidRPr="00940BAC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14:paraId="3A03CCFE" w14:textId="77777777" w:rsidR="00FF6B5A" w:rsidRPr="00940BAC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6800" w:type="dxa"/>
            <w:shd w:val="clear" w:color="auto" w:fill="auto"/>
            <w:hideMark/>
          </w:tcPr>
          <w:p w14:paraId="3EDBFC86" w14:textId="77777777" w:rsidR="00FF6B5A" w:rsidRPr="00940BAC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940BAC" w14:paraId="321F4825" w14:textId="77777777" w:rsidTr="292B8FC6">
        <w:trPr>
          <w:trHeight w:val="375"/>
        </w:trPr>
        <w:tc>
          <w:tcPr>
            <w:tcW w:w="160" w:type="dxa"/>
            <w:shd w:val="clear" w:color="auto" w:fill="auto"/>
            <w:vAlign w:val="bottom"/>
            <w:hideMark/>
          </w:tcPr>
          <w:p w14:paraId="1E86D0A4" w14:textId="77777777" w:rsidR="00FF6B5A" w:rsidRPr="00940BAC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841" w:type="dxa"/>
            <w:gridSpan w:val="3"/>
            <w:vMerge w:val="restart"/>
            <w:shd w:val="clear" w:color="auto" w:fill="auto"/>
            <w:vAlign w:val="bottom"/>
            <w:hideMark/>
          </w:tcPr>
          <w:p w14:paraId="34FEE837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Tlačivo VTC slúži na predkladanie výstupov tvorivej činnosti podľa metodiky hodnotenia tvorivých činností (časť V. Metodiky na vyhodnocovanie štandardov) /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form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is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used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submit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outputs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according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of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activities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(part V.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Standards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). </w:t>
            </w:r>
          </w:p>
        </w:tc>
      </w:tr>
      <w:tr w:rsidR="00FF6B5A" w:rsidRPr="00940BAC" w14:paraId="13892AB5" w14:textId="77777777" w:rsidTr="292B8FC6">
        <w:trPr>
          <w:trHeight w:val="375"/>
        </w:trPr>
        <w:tc>
          <w:tcPr>
            <w:tcW w:w="160" w:type="dxa"/>
            <w:shd w:val="clear" w:color="auto" w:fill="auto"/>
            <w:vAlign w:val="bottom"/>
            <w:hideMark/>
          </w:tcPr>
          <w:p w14:paraId="751F75D3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  <w:tc>
          <w:tcPr>
            <w:tcW w:w="8841" w:type="dxa"/>
            <w:gridSpan w:val="3"/>
            <w:vMerge/>
            <w:vAlign w:val="center"/>
            <w:hideMark/>
          </w:tcPr>
          <w:p w14:paraId="52F81D4E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</w:tr>
      <w:tr w:rsidR="00FF6B5A" w:rsidRPr="00940BAC" w14:paraId="605BD249" w14:textId="77777777" w:rsidTr="292B8FC6">
        <w:trPr>
          <w:trHeight w:val="90"/>
        </w:trPr>
        <w:tc>
          <w:tcPr>
            <w:tcW w:w="160" w:type="dxa"/>
            <w:shd w:val="clear" w:color="auto" w:fill="auto"/>
            <w:vAlign w:val="bottom"/>
            <w:hideMark/>
          </w:tcPr>
          <w:p w14:paraId="10380E6A" w14:textId="77777777" w:rsidR="00FF6B5A" w:rsidRPr="00940BAC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518DB5E0" w14:textId="77777777" w:rsidR="00FF6B5A" w:rsidRPr="00940BAC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14:paraId="44872326" w14:textId="77777777" w:rsidR="00FF6B5A" w:rsidRPr="00940BAC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6800" w:type="dxa"/>
            <w:shd w:val="clear" w:color="auto" w:fill="auto"/>
            <w:hideMark/>
          </w:tcPr>
          <w:p w14:paraId="0F5C3B4E" w14:textId="77777777" w:rsidR="00FF6B5A" w:rsidRPr="00940BAC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940BAC" w14:paraId="1FC30B39" w14:textId="77777777" w:rsidTr="292B8FC6">
        <w:trPr>
          <w:trHeight w:val="345"/>
        </w:trPr>
        <w:tc>
          <w:tcPr>
            <w:tcW w:w="160" w:type="dxa"/>
            <w:shd w:val="clear" w:color="auto" w:fill="auto"/>
            <w:vAlign w:val="bottom"/>
            <w:hideMark/>
          </w:tcPr>
          <w:p w14:paraId="3D9F2824" w14:textId="77777777" w:rsidR="00FF6B5A" w:rsidRPr="00940BAC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1DD3BCF4" w14:textId="77777777" w:rsidR="00FF6B5A" w:rsidRPr="00940BAC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25" w:type="dxa"/>
            <w:shd w:val="clear" w:color="auto" w:fill="D9E1F2"/>
            <w:vAlign w:val="center"/>
            <w:hideMark/>
          </w:tcPr>
          <w:p w14:paraId="5F04A83E" w14:textId="77777777" w:rsidR="00FF6B5A" w:rsidRPr="00940BAC" w:rsidRDefault="006700C6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0" w:anchor="'poznamky_explanatory notes'!A1" w:history="1"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ID konania/ID of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procedure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:</w:t>
              </w:r>
            </w:hyperlink>
            <w:r w:rsidR="004E4845" w:rsidRPr="00940BAC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1"/>
            </w:r>
          </w:p>
        </w:tc>
        <w:tc>
          <w:tcPr>
            <w:tcW w:w="6800" w:type="dxa"/>
            <w:shd w:val="clear" w:color="auto" w:fill="auto"/>
            <w:hideMark/>
          </w:tcPr>
          <w:p w14:paraId="50B736ED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940BAC" w14:paraId="5480C31B" w14:textId="77777777" w:rsidTr="292B8FC6">
        <w:trPr>
          <w:trHeight w:val="345"/>
        </w:trPr>
        <w:tc>
          <w:tcPr>
            <w:tcW w:w="160" w:type="dxa"/>
            <w:shd w:val="clear" w:color="auto" w:fill="auto"/>
            <w:vAlign w:val="bottom"/>
            <w:hideMark/>
          </w:tcPr>
          <w:p w14:paraId="18925D7B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4218EE02" w14:textId="77777777" w:rsidR="00FF6B5A" w:rsidRPr="00940BAC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bookmarkStart w:id="0" w:name="RANGE!C9"/>
        <w:tc>
          <w:tcPr>
            <w:tcW w:w="1725" w:type="dxa"/>
            <w:shd w:val="clear" w:color="auto" w:fill="D9E1F2"/>
            <w:vAlign w:val="center"/>
            <w:hideMark/>
          </w:tcPr>
          <w:p w14:paraId="516F90A7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lang w:eastAsia="sk-SK"/>
              </w:rPr>
              <w:fldChar w:fldCharType="begin"/>
            </w:r>
            <w:r w:rsidRPr="00940BAC">
              <w:rPr>
                <w:rFonts w:ascii="Calibri" w:eastAsia="Times New Roman" w:hAnsi="Calibri" w:cs="Times New Roman"/>
                <w:lang w:eastAsia="sk-SK"/>
              </w:rPr>
              <w:instrText xml:space="preserve"> HYPERLINK "file:///E:\\_Docs%20&amp;amp;%20Rozne\\DOC\\Doc\\Zbornik&amp;amp;Doc\\Nový\\Nový_doc\\__Webstr\\z_POM\\Doc\\Nový\\Hodnot%20sprava\\Intranet\\IMG%20web\\Nový%20priečinok\\T_Z_VTC_SjAj_1-2020.xlsx" \l "'poznamky_explanatory notes'!A1" </w:instrText>
            </w:r>
            <w:r w:rsidRPr="00940BAC">
              <w:rPr>
                <w:rFonts w:ascii="Calibri" w:eastAsia="Times New Roman" w:hAnsi="Calibri" w:cs="Times New Roman"/>
                <w:lang w:eastAsia="sk-SK"/>
              </w:rPr>
            </w:r>
            <w:r w:rsidRPr="00940BAC">
              <w:rPr>
                <w:rFonts w:ascii="Calibri" w:eastAsia="Times New Roman" w:hAnsi="Calibri" w:cs="Times New Roman"/>
                <w:lang w:eastAsia="sk-SK"/>
              </w:rPr>
              <w:fldChar w:fldCharType="separate"/>
            </w:r>
            <w:r w:rsidRPr="00940BAC">
              <w:rPr>
                <w:rFonts w:ascii="Calibri" w:eastAsia="Times New Roman" w:hAnsi="Calibri" w:cs="Times New Roman"/>
                <w:lang w:eastAsia="sk-SK"/>
              </w:rPr>
              <w:t>Kód VTC/</w:t>
            </w:r>
            <w:proofErr w:type="spellStart"/>
            <w:r w:rsidRPr="00940BAC">
              <w:rPr>
                <w:rFonts w:ascii="Calibri" w:eastAsia="Times New Roman" w:hAnsi="Calibri" w:cs="Times New Roman"/>
                <w:lang w:eastAsia="sk-SK"/>
              </w:rPr>
              <w:t>Code</w:t>
            </w:r>
            <w:proofErr w:type="spellEnd"/>
            <w:r w:rsidRPr="00940BAC">
              <w:rPr>
                <w:rFonts w:ascii="Calibri" w:eastAsia="Times New Roman" w:hAnsi="Calibri" w:cs="Times New Roman"/>
                <w:lang w:eastAsia="sk-SK"/>
              </w:rPr>
              <w:t xml:space="preserve"> of </w:t>
            </w:r>
            <w:proofErr w:type="spellStart"/>
            <w:r w:rsidRPr="00940BAC">
              <w:rPr>
                <w:rFonts w:ascii="Calibri" w:eastAsia="Times New Roman" w:hAnsi="Calibri" w:cs="Times New Roman"/>
                <w:lang w:eastAsia="sk-SK"/>
              </w:rPr>
              <w:t>the</w:t>
            </w:r>
            <w:proofErr w:type="spellEnd"/>
            <w:r w:rsidRPr="00940BA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lang w:eastAsia="sk-SK"/>
              </w:rPr>
              <w:t>research</w:t>
            </w:r>
            <w:proofErr w:type="spellEnd"/>
            <w:r w:rsidRPr="00940BAC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940BAC">
              <w:rPr>
                <w:rFonts w:ascii="Calibri" w:eastAsia="Times New Roman" w:hAnsi="Calibri" w:cs="Times New Roman"/>
                <w:lang w:eastAsia="sk-SK"/>
              </w:rPr>
              <w:t>artistic</w:t>
            </w:r>
            <w:proofErr w:type="spellEnd"/>
            <w:r w:rsidRPr="00940BAC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940BAC">
              <w:rPr>
                <w:rFonts w:ascii="Calibri" w:eastAsia="Times New Roman" w:hAnsi="Calibri" w:cs="Times New Roman"/>
                <w:lang w:eastAsia="sk-SK"/>
              </w:rPr>
              <w:t>other</w:t>
            </w:r>
            <w:proofErr w:type="spellEnd"/>
            <w:r w:rsidRPr="00940BAC">
              <w:rPr>
                <w:rFonts w:ascii="Calibri" w:eastAsia="Times New Roman" w:hAnsi="Calibri" w:cs="Times New Roman"/>
                <w:lang w:eastAsia="sk-SK"/>
              </w:rPr>
              <w:t xml:space="preserve"> output (RAOO):</w:t>
            </w:r>
            <w:r w:rsidRPr="00940BAC">
              <w:rPr>
                <w:rFonts w:ascii="Calibri" w:eastAsia="Times New Roman" w:hAnsi="Calibri" w:cs="Times New Roman"/>
                <w:vertAlign w:val="superscript"/>
                <w:lang w:eastAsia="sk-SK"/>
              </w:rPr>
              <w:t>1</w:t>
            </w:r>
            <w:r w:rsidRPr="00940BAC">
              <w:rPr>
                <w:rFonts w:ascii="Calibri" w:eastAsia="Times New Roman" w:hAnsi="Calibri" w:cs="Times New Roman"/>
                <w:lang w:eastAsia="sk-SK"/>
              </w:rPr>
              <w:fldChar w:fldCharType="end"/>
            </w:r>
            <w:bookmarkEnd w:id="0"/>
          </w:p>
        </w:tc>
        <w:tc>
          <w:tcPr>
            <w:tcW w:w="6800" w:type="dxa"/>
            <w:shd w:val="clear" w:color="auto" w:fill="auto"/>
            <w:hideMark/>
          </w:tcPr>
          <w:p w14:paraId="400D2CE9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940BAC" w14:paraId="5C2C5DAD" w14:textId="77777777" w:rsidTr="292B8FC6">
        <w:trPr>
          <w:trHeight w:val="405"/>
        </w:trPr>
        <w:tc>
          <w:tcPr>
            <w:tcW w:w="160" w:type="dxa"/>
            <w:shd w:val="clear" w:color="auto" w:fill="auto"/>
            <w:vAlign w:val="bottom"/>
            <w:hideMark/>
          </w:tcPr>
          <w:p w14:paraId="6AC9C231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592BB468" w14:textId="77777777" w:rsidR="00FF6B5A" w:rsidRPr="00940BAC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14:paraId="7CB4D51E" w14:textId="77777777" w:rsidR="00FF6B5A" w:rsidRPr="00940BAC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6800" w:type="dxa"/>
            <w:shd w:val="clear" w:color="auto" w:fill="auto"/>
            <w:hideMark/>
          </w:tcPr>
          <w:p w14:paraId="4060C9D9" w14:textId="77777777" w:rsidR="00FF6B5A" w:rsidRPr="00940BAC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940BAC" w14:paraId="15E8949A" w14:textId="77777777" w:rsidTr="292B8FC6">
        <w:trPr>
          <w:trHeight w:val="510"/>
        </w:trPr>
        <w:tc>
          <w:tcPr>
            <w:tcW w:w="160" w:type="dxa"/>
            <w:shd w:val="clear" w:color="auto" w:fill="auto"/>
            <w:vAlign w:val="bottom"/>
            <w:hideMark/>
          </w:tcPr>
          <w:p w14:paraId="2D129981" w14:textId="77777777" w:rsidR="00FF6B5A" w:rsidRPr="00940BAC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041" w:type="dxa"/>
            <w:gridSpan w:val="2"/>
            <w:shd w:val="clear" w:color="auto" w:fill="D9E1F2"/>
            <w:vAlign w:val="center"/>
            <w:hideMark/>
          </w:tcPr>
          <w:p w14:paraId="3D97B3AB" w14:textId="77777777" w:rsidR="00FF6B5A" w:rsidRPr="00940BAC" w:rsidRDefault="006700C6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1" w:anchor="'poznamky_explanatory notes'!A1" w:history="1"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OCA1.</w:t>
              </w:r>
              <w:r w:rsidR="00FF6B5A" w:rsidRPr="00940BAC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Priezvisko hodnotenej osob</w:t>
              </w:r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y /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Surname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</w:hyperlink>
            <w:r w:rsidR="004E4845" w:rsidRPr="00940BAC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2"/>
            </w:r>
          </w:p>
        </w:tc>
        <w:tc>
          <w:tcPr>
            <w:tcW w:w="6800" w:type="dxa"/>
            <w:shd w:val="clear" w:color="auto" w:fill="auto"/>
            <w:hideMark/>
          </w:tcPr>
          <w:p w14:paraId="7FD47DBC" w14:textId="0731AA1B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43C52"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Jurčová</w:t>
            </w:r>
          </w:p>
        </w:tc>
      </w:tr>
      <w:tr w:rsidR="00FF6B5A" w:rsidRPr="00940BAC" w14:paraId="3B1F13F9" w14:textId="77777777" w:rsidTr="292B8FC6">
        <w:trPr>
          <w:trHeight w:val="315"/>
        </w:trPr>
        <w:tc>
          <w:tcPr>
            <w:tcW w:w="160" w:type="dxa"/>
            <w:shd w:val="clear" w:color="auto" w:fill="auto"/>
            <w:vAlign w:val="bottom"/>
            <w:hideMark/>
          </w:tcPr>
          <w:p w14:paraId="1699A2CD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041" w:type="dxa"/>
            <w:gridSpan w:val="2"/>
            <w:shd w:val="clear" w:color="auto" w:fill="D9E1F2"/>
            <w:vAlign w:val="center"/>
            <w:hideMark/>
          </w:tcPr>
          <w:p w14:paraId="1F07578F" w14:textId="77777777" w:rsidR="00FF6B5A" w:rsidRPr="00940BAC" w:rsidRDefault="006700C6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2" w:anchor="'poznamky_explanatory notes'!A1" w:history="1"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OCA2. </w:t>
              </w:r>
              <w:r w:rsidR="00FF6B5A" w:rsidRPr="00940BAC">
                <w:rPr>
                  <w:rFonts w:ascii="Calibri" w:eastAsia="Times New Roman" w:hAnsi="Calibri" w:cs="Times New Roman"/>
                  <w:b/>
                  <w:lang w:eastAsia="sk-SK"/>
                </w:rPr>
                <w:t>Meno hodnotenej osoby</w:t>
              </w:r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Name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940BAC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6800" w:type="dxa"/>
            <w:shd w:val="clear" w:color="auto" w:fill="auto"/>
            <w:hideMark/>
          </w:tcPr>
          <w:p w14:paraId="77B6CE8E" w14:textId="0C8BC93C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43C52"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Monika</w:t>
            </w:r>
          </w:p>
        </w:tc>
      </w:tr>
      <w:tr w:rsidR="00FF6B5A" w:rsidRPr="00940BAC" w14:paraId="13A9B15A" w14:textId="77777777" w:rsidTr="292B8FC6">
        <w:trPr>
          <w:trHeight w:val="510"/>
        </w:trPr>
        <w:tc>
          <w:tcPr>
            <w:tcW w:w="160" w:type="dxa"/>
            <w:shd w:val="clear" w:color="auto" w:fill="auto"/>
            <w:vAlign w:val="bottom"/>
            <w:hideMark/>
          </w:tcPr>
          <w:p w14:paraId="324E10FF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041" w:type="dxa"/>
            <w:gridSpan w:val="2"/>
            <w:shd w:val="clear" w:color="auto" w:fill="D9E1F2"/>
            <w:vAlign w:val="center"/>
            <w:hideMark/>
          </w:tcPr>
          <w:p w14:paraId="77EEE2CC" w14:textId="77777777" w:rsidR="00FF6B5A" w:rsidRPr="00940BAC" w:rsidRDefault="006700C6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3" w:anchor="'poznamky_explanatory notes'!A1" w:history="1"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OCA3. </w:t>
              </w:r>
              <w:r w:rsidR="00FF6B5A" w:rsidRPr="00940BAC">
                <w:rPr>
                  <w:rFonts w:ascii="Calibri" w:eastAsia="Times New Roman" w:hAnsi="Calibri" w:cs="Times New Roman"/>
                  <w:b/>
                  <w:lang w:eastAsia="sk-SK"/>
                </w:rPr>
                <w:t>Tituly hodnotenej osoby</w:t>
              </w:r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Degrees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940BAC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6800" w:type="dxa"/>
            <w:shd w:val="clear" w:color="auto" w:fill="auto"/>
            <w:hideMark/>
          </w:tcPr>
          <w:p w14:paraId="227F95FC" w14:textId="0D0251EC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43C52"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doc. JUDr. PhD.</w:t>
            </w:r>
          </w:p>
        </w:tc>
      </w:tr>
      <w:tr w:rsidR="00FF6B5A" w:rsidRPr="00940BAC" w14:paraId="3E131030" w14:textId="77777777" w:rsidTr="292B8FC6">
        <w:trPr>
          <w:trHeight w:val="660"/>
        </w:trPr>
        <w:tc>
          <w:tcPr>
            <w:tcW w:w="160" w:type="dxa"/>
            <w:shd w:val="clear" w:color="auto" w:fill="auto"/>
            <w:vAlign w:val="bottom"/>
            <w:hideMark/>
          </w:tcPr>
          <w:p w14:paraId="70058423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041" w:type="dxa"/>
            <w:gridSpan w:val="2"/>
            <w:shd w:val="clear" w:color="auto" w:fill="D9E1F2"/>
            <w:vAlign w:val="center"/>
            <w:hideMark/>
          </w:tcPr>
          <w:p w14:paraId="1EAB26A2" w14:textId="77777777" w:rsidR="00FF6B5A" w:rsidRPr="001A6549" w:rsidRDefault="006700C6" w:rsidP="004E484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sk-SK"/>
              </w:rPr>
            </w:pPr>
            <w:hyperlink r:id="rId14" w:anchor="'poznamky_explanatory notes'!A1" w:history="1">
              <w:r w:rsidR="00FF6B5A" w:rsidRPr="001A6549">
                <w:rPr>
                  <w:rFonts w:ascii="Calibri" w:eastAsia="Times New Roman" w:hAnsi="Calibri" w:cs="Times New Roman"/>
                  <w:i/>
                  <w:iCs/>
                  <w:color w:val="000000" w:themeColor="text1"/>
                  <w:lang w:eastAsia="sk-SK"/>
                </w:rPr>
                <w:t xml:space="preserve">OCA4. </w:t>
              </w:r>
              <w:proofErr w:type="spellStart"/>
              <w:r w:rsidR="00FF6B5A" w:rsidRPr="001A6549">
                <w:rPr>
                  <w:rFonts w:ascii="Calibri" w:eastAsia="Times New Roman" w:hAnsi="Calibri" w:cs="Times New Roman"/>
                  <w:i/>
                  <w:iCs/>
                  <w:color w:val="000000" w:themeColor="text1"/>
                  <w:lang w:eastAsia="sk-SK"/>
                </w:rPr>
                <w:t>Hyperlink</w:t>
              </w:r>
              <w:proofErr w:type="spellEnd"/>
              <w:r w:rsidR="00FF6B5A" w:rsidRPr="001A6549">
                <w:rPr>
                  <w:rFonts w:ascii="Calibri" w:eastAsia="Times New Roman" w:hAnsi="Calibri" w:cs="Times New Roman"/>
                  <w:i/>
                  <w:iCs/>
                  <w:color w:val="000000" w:themeColor="text1"/>
                  <w:lang w:eastAsia="sk-SK"/>
                </w:rPr>
                <w:t xml:space="preserve"> na záznam osoby v Registri zamestnancov vysokých škôl / </w:t>
              </w:r>
              <w:proofErr w:type="spellStart"/>
              <w:r w:rsidR="00FF6B5A" w:rsidRPr="001A6549">
                <w:rPr>
                  <w:rFonts w:ascii="Calibri" w:eastAsia="Times New Roman" w:hAnsi="Calibri" w:cs="Times New Roman"/>
                  <w:i/>
                  <w:iCs/>
                  <w:color w:val="000000" w:themeColor="text1"/>
                  <w:lang w:eastAsia="sk-SK"/>
                </w:rPr>
                <w:t>Hyperlink</w:t>
              </w:r>
              <w:proofErr w:type="spellEnd"/>
              <w:r w:rsidR="00FF6B5A" w:rsidRPr="001A6549">
                <w:rPr>
                  <w:rFonts w:ascii="Calibri" w:eastAsia="Times New Roman" w:hAnsi="Calibri" w:cs="Times New Roman"/>
                  <w:i/>
                  <w:iCs/>
                  <w:color w:val="000000" w:themeColor="text1"/>
                  <w:lang w:eastAsia="sk-SK"/>
                </w:rPr>
                <w:t xml:space="preserve"> to </w:t>
              </w:r>
              <w:proofErr w:type="spellStart"/>
              <w:r w:rsidR="00FF6B5A" w:rsidRPr="001A6549">
                <w:rPr>
                  <w:rFonts w:ascii="Calibri" w:eastAsia="Times New Roman" w:hAnsi="Calibri" w:cs="Times New Roman"/>
                  <w:i/>
                  <w:iCs/>
                  <w:color w:val="000000" w:themeColor="text1"/>
                  <w:lang w:eastAsia="sk-SK"/>
                </w:rPr>
                <w:t>the</w:t>
              </w:r>
              <w:proofErr w:type="spellEnd"/>
              <w:r w:rsidR="00FF6B5A" w:rsidRPr="001A6549">
                <w:rPr>
                  <w:rFonts w:ascii="Calibri" w:eastAsia="Times New Roman" w:hAnsi="Calibri" w:cs="Times New Roman"/>
                  <w:i/>
                  <w:iCs/>
                  <w:color w:val="000000" w:themeColor="text1"/>
                  <w:lang w:eastAsia="sk-SK"/>
                </w:rPr>
                <w:t xml:space="preserve"> </w:t>
              </w:r>
              <w:proofErr w:type="spellStart"/>
              <w:r w:rsidR="00FF6B5A" w:rsidRPr="001A6549">
                <w:rPr>
                  <w:rFonts w:ascii="Calibri" w:eastAsia="Times New Roman" w:hAnsi="Calibri" w:cs="Times New Roman"/>
                  <w:i/>
                  <w:iCs/>
                  <w:color w:val="000000" w:themeColor="text1"/>
                  <w:lang w:eastAsia="sk-SK"/>
                </w:rPr>
                <w:t>entry</w:t>
              </w:r>
              <w:proofErr w:type="spellEnd"/>
              <w:r w:rsidR="00FF6B5A" w:rsidRPr="001A6549">
                <w:rPr>
                  <w:rFonts w:ascii="Calibri" w:eastAsia="Times New Roman" w:hAnsi="Calibri" w:cs="Times New Roman"/>
                  <w:i/>
                  <w:iCs/>
                  <w:color w:val="000000" w:themeColor="text1"/>
                  <w:lang w:eastAsia="sk-SK"/>
                </w:rPr>
                <w:t xml:space="preserve"> of </w:t>
              </w:r>
              <w:proofErr w:type="spellStart"/>
              <w:r w:rsidR="00FF6B5A" w:rsidRPr="001A6549">
                <w:rPr>
                  <w:rFonts w:ascii="Calibri" w:eastAsia="Times New Roman" w:hAnsi="Calibri" w:cs="Times New Roman"/>
                  <w:i/>
                  <w:iCs/>
                  <w:color w:val="000000" w:themeColor="text1"/>
                  <w:lang w:eastAsia="sk-SK"/>
                </w:rPr>
                <w:t>the</w:t>
              </w:r>
              <w:proofErr w:type="spellEnd"/>
              <w:r w:rsidR="00FF6B5A" w:rsidRPr="001A6549">
                <w:rPr>
                  <w:rFonts w:ascii="Calibri" w:eastAsia="Times New Roman" w:hAnsi="Calibri" w:cs="Times New Roman"/>
                  <w:i/>
                  <w:iCs/>
                  <w:color w:val="000000" w:themeColor="text1"/>
                  <w:lang w:eastAsia="sk-SK"/>
                </w:rPr>
                <w:t xml:space="preserve"> person in </w:t>
              </w:r>
              <w:proofErr w:type="spellStart"/>
              <w:r w:rsidR="00FF6B5A" w:rsidRPr="001A6549">
                <w:rPr>
                  <w:rFonts w:ascii="Calibri" w:eastAsia="Times New Roman" w:hAnsi="Calibri" w:cs="Times New Roman"/>
                  <w:i/>
                  <w:iCs/>
                  <w:color w:val="000000" w:themeColor="text1"/>
                  <w:lang w:eastAsia="sk-SK"/>
                </w:rPr>
                <w:t>the</w:t>
              </w:r>
              <w:proofErr w:type="spellEnd"/>
              <w:r w:rsidR="00FF6B5A" w:rsidRPr="001A6549">
                <w:rPr>
                  <w:rFonts w:ascii="Calibri" w:eastAsia="Times New Roman" w:hAnsi="Calibri" w:cs="Times New Roman"/>
                  <w:i/>
                  <w:iCs/>
                  <w:color w:val="000000" w:themeColor="text1"/>
                  <w:lang w:eastAsia="sk-SK"/>
                </w:rPr>
                <w:t xml:space="preserve"> Register of </w:t>
              </w:r>
              <w:proofErr w:type="spellStart"/>
              <w:r w:rsidR="00FF6B5A" w:rsidRPr="001A6549">
                <w:rPr>
                  <w:rFonts w:ascii="Calibri" w:eastAsia="Times New Roman" w:hAnsi="Calibri" w:cs="Times New Roman"/>
                  <w:i/>
                  <w:iCs/>
                  <w:color w:val="000000" w:themeColor="text1"/>
                  <w:lang w:eastAsia="sk-SK"/>
                </w:rPr>
                <w:t>university</w:t>
              </w:r>
              <w:proofErr w:type="spellEnd"/>
              <w:r w:rsidR="00FF6B5A" w:rsidRPr="001A6549">
                <w:rPr>
                  <w:rFonts w:ascii="Calibri" w:eastAsia="Times New Roman" w:hAnsi="Calibri" w:cs="Times New Roman"/>
                  <w:i/>
                  <w:iCs/>
                  <w:color w:val="000000" w:themeColor="text1"/>
                  <w:lang w:eastAsia="sk-SK"/>
                </w:rPr>
                <w:t xml:space="preserve"> </w:t>
              </w:r>
              <w:proofErr w:type="spellStart"/>
              <w:r w:rsidR="00FF6B5A" w:rsidRPr="001A6549">
                <w:rPr>
                  <w:rFonts w:ascii="Calibri" w:eastAsia="Times New Roman" w:hAnsi="Calibri" w:cs="Times New Roman"/>
                  <w:i/>
                  <w:iCs/>
                  <w:color w:val="000000" w:themeColor="text1"/>
                  <w:lang w:eastAsia="sk-SK"/>
                </w:rPr>
                <w:t>staff</w:t>
              </w:r>
              <w:proofErr w:type="spellEnd"/>
              <w:r w:rsidR="00FF6B5A" w:rsidRPr="001A6549">
                <w:rPr>
                  <w:rFonts w:ascii="Calibri" w:eastAsia="Times New Roman" w:hAnsi="Calibri" w:cs="Times New Roman"/>
                  <w:i/>
                  <w:iCs/>
                  <w:color w:val="000000" w:themeColor="text1"/>
                  <w:lang w:eastAsia="sk-SK"/>
                </w:rPr>
                <w:t xml:space="preserve"> </w:t>
              </w:r>
            </w:hyperlink>
            <w:r w:rsidR="004E4845" w:rsidRPr="001A6549">
              <w:rPr>
                <w:rStyle w:val="Odkaznapoznmkupodiarou"/>
                <w:rFonts w:ascii="Calibri" w:eastAsia="Times New Roman" w:hAnsi="Calibri" w:cs="Times New Roman"/>
                <w:i/>
                <w:iCs/>
                <w:color w:val="000000" w:themeColor="text1"/>
                <w:lang w:eastAsia="sk-SK"/>
              </w:rPr>
              <w:footnoteReference w:id="3"/>
            </w:r>
          </w:p>
        </w:tc>
        <w:tc>
          <w:tcPr>
            <w:tcW w:w="6800" w:type="dxa"/>
            <w:shd w:val="clear" w:color="auto" w:fill="auto"/>
            <w:hideMark/>
          </w:tcPr>
          <w:p w14:paraId="2B5657FB" w14:textId="77777777" w:rsidR="00543C52" w:rsidRPr="001A6549" w:rsidRDefault="00FF6B5A" w:rsidP="00543C52">
            <w:pPr>
              <w:rPr>
                <w:i/>
                <w:iCs/>
                <w:color w:val="000000" w:themeColor="text1"/>
              </w:rPr>
            </w:pPr>
            <w:r w:rsidRPr="001A6549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sk-SK"/>
              </w:rPr>
              <w:t> </w:t>
            </w:r>
            <w:r w:rsidR="00543C52" w:rsidRPr="001A6549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 </w:t>
            </w:r>
            <w:hyperlink r:id="rId15" w:tgtFrame="_blank" w:history="1">
              <w:r w:rsidR="00543C52" w:rsidRPr="001A6549">
                <w:rPr>
                  <w:rStyle w:val="normaltextrun"/>
                  <w:rFonts w:ascii="Calibri" w:hAnsi="Calibri" w:cs="Calibri"/>
                  <w:i/>
                  <w:iCs/>
                  <w:color w:val="000000" w:themeColor="text1"/>
                  <w:u w:val="single"/>
                </w:rPr>
                <w:t>https://www.portalvs.sk/regzam/detail/8754?do=filterForm-submit&amp;name=Monika&amp;surname=Jurčová&amp;university=713000000&amp;faculty=713050000&amp;sort=surname&amp;employment_state=yes&amp;filter=Vyhľadať</w:t>
              </w:r>
            </w:hyperlink>
            <w:r w:rsidR="00543C52" w:rsidRPr="001A6549">
              <w:rPr>
                <w:rStyle w:val="eop"/>
                <w:rFonts w:ascii="Calibri" w:hAnsi="Calibri" w:cs="Calibri"/>
                <w:i/>
                <w:iCs/>
                <w:color w:val="000000" w:themeColor="text1"/>
              </w:rPr>
              <w:t> </w:t>
            </w:r>
          </w:p>
          <w:p w14:paraId="26F5C854" w14:textId="2A7A0A02" w:rsidR="00FF6B5A" w:rsidRPr="001A6549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sk-SK"/>
              </w:rPr>
            </w:pPr>
          </w:p>
        </w:tc>
      </w:tr>
      <w:tr w:rsidR="00FF6B5A" w:rsidRPr="00940BAC" w14:paraId="6B1C1AC5" w14:textId="77777777" w:rsidTr="292B8FC6">
        <w:trPr>
          <w:trHeight w:val="300"/>
        </w:trPr>
        <w:tc>
          <w:tcPr>
            <w:tcW w:w="160" w:type="dxa"/>
            <w:shd w:val="clear" w:color="auto" w:fill="auto"/>
            <w:vAlign w:val="bottom"/>
            <w:hideMark/>
          </w:tcPr>
          <w:p w14:paraId="7C60DAD3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041" w:type="dxa"/>
            <w:gridSpan w:val="2"/>
            <w:shd w:val="clear" w:color="auto" w:fill="D9E1F2"/>
            <w:vAlign w:val="center"/>
            <w:hideMark/>
          </w:tcPr>
          <w:p w14:paraId="2AB7C53E" w14:textId="77777777" w:rsidR="00FF6B5A" w:rsidRPr="00940BAC" w:rsidRDefault="006700C6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6" w:anchor="'poznamky_explanatory notes'!A1" w:history="1"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OCA5. </w:t>
              </w:r>
              <w:r w:rsidR="00FF6B5A" w:rsidRPr="00940BAC">
                <w:rPr>
                  <w:rFonts w:ascii="Calibri" w:eastAsia="Times New Roman" w:hAnsi="Calibri" w:cs="Times New Roman"/>
                  <w:b/>
                  <w:lang w:eastAsia="sk-SK"/>
                </w:rPr>
                <w:t>Oblasť posudzovania</w:t>
              </w:r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Area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assessment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 w:rsidRPr="00940BAC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4"/>
            </w:r>
          </w:p>
        </w:tc>
        <w:tc>
          <w:tcPr>
            <w:tcW w:w="6800" w:type="dxa"/>
            <w:shd w:val="clear" w:color="auto" w:fill="auto"/>
            <w:hideMark/>
          </w:tcPr>
          <w:p w14:paraId="6716A746" w14:textId="685869DA" w:rsidR="00FF6B5A" w:rsidRPr="00940BAC" w:rsidRDefault="00FF6B5A" w:rsidP="00422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6700C6" w:rsidRPr="001754C9">
              <w:rPr>
                <w:rFonts w:eastAsia="Times New Roman" w:cstheme="minorHAnsi"/>
                <w:lang w:eastAsia="sk-SK"/>
              </w:rPr>
              <w:t xml:space="preserve">Študijný program Občianske právo, 3. stupeň / </w:t>
            </w:r>
            <w:proofErr w:type="spellStart"/>
            <w:r w:rsidR="006700C6" w:rsidRPr="001754C9">
              <w:rPr>
                <w:rFonts w:eastAsia="Times New Roman" w:cstheme="minorHAnsi"/>
                <w:lang w:eastAsia="sk-SK"/>
              </w:rPr>
              <w:t>Third</w:t>
            </w:r>
            <w:proofErr w:type="spellEnd"/>
            <w:r w:rsidR="006700C6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6700C6" w:rsidRPr="001754C9">
              <w:rPr>
                <w:rFonts w:eastAsia="Times New Roman" w:cstheme="minorHAnsi"/>
                <w:lang w:eastAsia="sk-SK"/>
              </w:rPr>
              <w:t>degree</w:t>
            </w:r>
            <w:proofErr w:type="spellEnd"/>
            <w:r w:rsidR="006700C6" w:rsidRPr="001754C9">
              <w:rPr>
                <w:rFonts w:eastAsia="Times New Roman" w:cstheme="minorHAnsi"/>
                <w:lang w:eastAsia="sk-SK"/>
              </w:rPr>
              <w:t xml:space="preserve"> study programe "Civil </w:t>
            </w:r>
            <w:proofErr w:type="spellStart"/>
            <w:r w:rsidR="006700C6" w:rsidRPr="001754C9">
              <w:rPr>
                <w:rFonts w:eastAsia="Times New Roman" w:cstheme="minorHAnsi"/>
                <w:lang w:eastAsia="sk-SK"/>
              </w:rPr>
              <w:t>law</w:t>
            </w:r>
            <w:proofErr w:type="spellEnd"/>
            <w:r w:rsidR="006700C6" w:rsidRPr="001754C9">
              <w:rPr>
                <w:rFonts w:eastAsia="Times New Roman" w:cstheme="minorHAnsi"/>
                <w:lang w:eastAsia="sk-SK"/>
              </w:rPr>
              <w:t xml:space="preserve">" / Odbor habilitačného a inauguračného konania  "Občianske právo" / </w:t>
            </w:r>
            <w:proofErr w:type="spellStart"/>
            <w:r w:rsidR="006700C6" w:rsidRPr="001754C9">
              <w:rPr>
                <w:rFonts w:eastAsia="Times New Roman" w:cstheme="minorHAnsi"/>
                <w:lang w:eastAsia="sk-SK"/>
              </w:rPr>
              <w:t>The</w:t>
            </w:r>
            <w:proofErr w:type="spellEnd"/>
            <w:r w:rsidR="006700C6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6700C6" w:rsidRPr="001754C9">
              <w:rPr>
                <w:rFonts w:eastAsia="Times New Roman" w:cstheme="minorHAnsi"/>
                <w:lang w:eastAsia="sk-SK"/>
              </w:rPr>
              <w:t>field</w:t>
            </w:r>
            <w:proofErr w:type="spellEnd"/>
            <w:r w:rsidR="006700C6" w:rsidRPr="001754C9">
              <w:rPr>
                <w:rFonts w:eastAsia="Times New Roman" w:cstheme="minorHAnsi"/>
                <w:lang w:eastAsia="sk-SK"/>
              </w:rPr>
              <w:t xml:space="preserve"> of </w:t>
            </w:r>
            <w:proofErr w:type="spellStart"/>
            <w:r w:rsidR="006700C6" w:rsidRPr="001754C9">
              <w:rPr>
                <w:rFonts w:eastAsia="Times New Roman" w:cstheme="minorHAnsi"/>
                <w:lang w:eastAsia="sk-SK"/>
              </w:rPr>
              <w:t>the</w:t>
            </w:r>
            <w:proofErr w:type="spellEnd"/>
            <w:r w:rsidR="006700C6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6700C6" w:rsidRPr="001754C9">
              <w:rPr>
                <w:rFonts w:eastAsia="Times New Roman" w:cstheme="minorHAnsi"/>
                <w:lang w:eastAsia="sk-SK"/>
              </w:rPr>
              <w:t>habilitation</w:t>
            </w:r>
            <w:proofErr w:type="spellEnd"/>
            <w:r w:rsidR="006700C6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6700C6" w:rsidRPr="001754C9">
              <w:rPr>
                <w:rFonts w:eastAsia="Times New Roman" w:cstheme="minorHAnsi"/>
                <w:lang w:eastAsia="sk-SK"/>
              </w:rPr>
              <w:t>procedure</w:t>
            </w:r>
            <w:proofErr w:type="spellEnd"/>
            <w:r w:rsidR="006700C6" w:rsidRPr="001754C9">
              <w:rPr>
                <w:rFonts w:eastAsia="Times New Roman" w:cstheme="minorHAnsi"/>
                <w:lang w:eastAsia="sk-SK"/>
              </w:rPr>
              <w:t xml:space="preserve"> and </w:t>
            </w:r>
            <w:proofErr w:type="spellStart"/>
            <w:r w:rsidR="006700C6" w:rsidRPr="001754C9">
              <w:rPr>
                <w:rFonts w:eastAsia="Times New Roman" w:cstheme="minorHAnsi"/>
                <w:lang w:eastAsia="sk-SK"/>
              </w:rPr>
              <w:t>inaugural</w:t>
            </w:r>
            <w:proofErr w:type="spellEnd"/>
            <w:r w:rsidR="006700C6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6700C6" w:rsidRPr="001754C9">
              <w:rPr>
                <w:rFonts w:eastAsia="Times New Roman" w:cstheme="minorHAnsi"/>
                <w:lang w:eastAsia="sk-SK"/>
              </w:rPr>
              <w:t>procedure</w:t>
            </w:r>
            <w:proofErr w:type="spellEnd"/>
            <w:r w:rsidR="006700C6" w:rsidRPr="001754C9">
              <w:rPr>
                <w:rFonts w:eastAsia="Times New Roman" w:cstheme="minorHAnsi"/>
                <w:lang w:eastAsia="sk-SK"/>
              </w:rPr>
              <w:t xml:space="preserve">: "Civil </w:t>
            </w:r>
            <w:proofErr w:type="spellStart"/>
            <w:r w:rsidR="006700C6" w:rsidRPr="001754C9">
              <w:rPr>
                <w:rFonts w:eastAsia="Times New Roman" w:cstheme="minorHAnsi"/>
                <w:lang w:eastAsia="sk-SK"/>
              </w:rPr>
              <w:t>Law</w:t>
            </w:r>
            <w:proofErr w:type="spellEnd"/>
            <w:r w:rsidR="006700C6" w:rsidRPr="001754C9">
              <w:rPr>
                <w:rFonts w:eastAsia="Times New Roman" w:cstheme="minorHAnsi"/>
                <w:lang w:eastAsia="sk-SK"/>
              </w:rPr>
              <w:t>"</w:t>
            </w:r>
          </w:p>
        </w:tc>
      </w:tr>
      <w:tr w:rsidR="008E2108" w:rsidRPr="00940BAC" w14:paraId="1FF56F96" w14:textId="77777777" w:rsidTr="292B8FC6">
        <w:trPr>
          <w:trHeight w:val="300"/>
        </w:trPr>
        <w:tc>
          <w:tcPr>
            <w:tcW w:w="160" w:type="dxa"/>
            <w:shd w:val="clear" w:color="auto" w:fill="auto"/>
            <w:vAlign w:val="bottom"/>
          </w:tcPr>
          <w:p w14:paraId="303BD873" w14:textId="77777777" w:rsidR="008E2108" w:rsidRPr="00940BAC" w:rsidRDefault="008E2108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041" w:type="dxa"/>
            <w:gridSpan w:val="2"/>
            <w:shd w:val="clear" w:color="auto" w:fill="D5DCE4" w:themeFill="text2" w:themeFillTint="33"/>
            <w:vAlign w:val="center"/>
          </w:tcPr>
          <w:p w14:paraId="02EB8860" w14:textId="46C62B3B" w:rsidR="008E2108" w:rsidRPr="009D7969" w:rsidRDefault="2F21D586" w:rsidP="292B8F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292B8FC6">
              <w:rPr>
                <w:rFonts w:ascii="Calibri" w:eastAsia="Calibri" w:hAnsi="Calibri" w:cs="Calibri"/>
              </w:rPr>
              <w:t>Zaradenie (PF TU)</w:t>
            </w:r>
          </w:p>
        </w:tc>
        <w:tc>
          <w:tcPr>
            <w:tcW w:w="6800" w:type="dxa"/>
            <w:shd w:val="clear" w:color="auto" w:fill="auto"/>
          </w:tcPr>
          <w:p w14:paraId="20DB8120" w14:textId="7C824CF7" w:rsidR="008E2108" w:rsidRPr="009D7969" w:rsidRDefault="00543C52" w:rsidP="292B8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292B8FC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A+</w:t>
            </w:r>
          </w:p>
        </w:tc>
      </w:tr>
      <w:tr w:rsidR="00FF6B5A" w:rsidRPr="00940BAC" w14:paraId="518F8B08" w14:textId="77777777" w:rsidTr="292B8FC6">
        <w:trPr>
          <w:trHeight w:val="660"/>
        </w:trPr>
        <w:tc>
          <w:tcPr>
            <w:tcW w:w="160" w:type="dxa"/>
            <w:shd w:val="clear" w:color="auto" w:fill="auto"/>
            <w:vAlign w:val="bottom"/>
            <w:hideMark/>
          </w:tcPr>
          <w:p w14:paraId="25C6987F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041" w:type="dxa"/>
            <w:gridSpan w:val="2"/>
            <w:shd w:val="clear" w:color="auto" w:fill="D9E1F2"/>
            <w:vAlign w:val="center"/>
            <w:hideMark/>
          </w:tcPr>
          <w:p w14:paraId="4ED51328" w14:textId="77777777" w:rsidR="00FF6B5A" w:rsidRPr="00940BAC" w:rsidRDefault="006700C6" w:rsidP="008E210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</w:pPr>
            <w:hyperlink r:id="rId17" w:anchor="Expl.OCA6!A1" w:history="1"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OCA6. </w:t>
              </w:r>
              <w:r w:rsidR="00FF6B5A" w:rsidRPr="00940BAC">
                <w:rPr>
                  <w:rFonts w:ascii="Calibri" w:eastAsia="Times New Roman" w:hAnsi="Calibri" w:cs="Times New Roman"/>
                  <w:b/>
                  <w:lang w:eastAsia="sk-SK"/>
                </w:rPr>
                <w:t>Kategória výstupu tvorivej činnosti</w:t>
              </w:r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Category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br/>
              </w:r>
              <w:r w:rsidR="008E2108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Výber zo 6 možností </w:t>
              </w:r>
              <w:r w:rsidR="00FF6B5A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/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Choice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from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6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opt</w:t>
              </w:r>
              <w:r w:rsidR="008E2108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ions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. </w:t>
              </w:r>
            </w:hyperlink>
          </w:p>
          <w:p w14:paraId="5F4CC942" w14:textId="77777777" w:rsidR="008E2108" w:rsidRPr="00940BAC" w:rsidRDefault="008E2108" w:rsidP="008E210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vedecký výstup</w:t>
            </w: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scientific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output, </w:t>
            </w:r>
            <w:r w:rsidRPr="00940BAC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odborný výstup</w:t>
            </w: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professional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output, </w:t>
            </w:r>
            <w:r w:rsidRPr="00940BAC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pedagogický výstup</w:t>
            </w: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pedagogical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output, </w:t>
            </w:r>
            <w:r w:rsidRPr="00940BAC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umelecký výstup</w:t>
            </w: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artistic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output,  dokument práv duševného vlastníctva a norma /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intellectual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property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rights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document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standard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940BAC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iný výstup</w:t>
            </w: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6800" w:type="dxa"/>
            <w:shd w:val="clear" w:color="auto" w:fill="auto"/>
            <w:hideMark/>
          </w:tcPr>
          <w:p w14:paraId="54AD2BE2" w14:textId="74D12CC8" w:rsidR="00FF6B5A" w:rsidRPr="00940BAC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iCs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iCs/>
                <w:lang w:eastAsia="sk-SK"/>
              </w:rPr>
              <w:t>vedecký výstup</w:t>
            </w:r>
            <w:r w:rsidR="009D7969">
              <w:rPr>
                <w:rFonts w:ascii="Calibri" w:eastAsia="Times New Roman" w:hAnsi="Calibri" w:cs="Times New Roman"/>
                <w:iCs/>
                <w:lang w:eastAsia="sk-SK"/>
              </w:rPr>
              <w:t xml:space="preserve">/ </w:t>
            </w:r>
            <w:proofErr w:type="spellStart"/>
            <w:r w:rsidR="009D7969">
              <w:rPr>
                <w:rFonts w:ascii="Calibri" w:eastAsia="Times New Roman" w:hAnsi="Calibri" w:cs="Times New Roman"/>
                <w:iCs/>
                <w:lang w:eastAsia="sk-SK"/>
              </w:rPr>
              <w:t>scientific</w:t>
            </w:r>
            <w:proofErr w:type="spellEnd"/>
            <w:r w:rsidR="009D7969">
              <w:rPr>
                <w:rFonts w:ascii="Calibri" w:eastAsia="Times New Roman" w:hAnsi="Calibri" w:cs="Times New Roman"/>
                <w:iCs/>
                <w:lang w:eastAsia="sk-SK"/>
              </w:rPr>
              <w:t xml:space="preserve"> output</w:t>
            </w:r>
          </w:p>
          <w:p w14:paraId="7A17243B" w14:textId="36C5C4E8" w:rsidR="008E7E49" w:rsidRPr="00940BAC" w:rsidRDefault="008E7E49" w:rsidP="008E7E49">
            <w:pPr>
              <w:rPr>
                <w:rFonts w:ascii="Segoe UI" w:hAnsi="Segoe UI" w:cs="Segoe UI"/>
                <w:color w:val="262626"/>
              </w:rPr>
            </w:pPr>
            <w:r w:rsidRPr="00940BAC">
              <w:rPr>
                <w:rStyle w:val="apple-converted-space"/>
                <w:rFonts w:ascii="Segoe UI" w:hAnsi="Segoe UI" w:cs="Segoe UI"/>
                <w:color w:val="262626"/>
              </w:rPr>
              <w:t> </w:t>
            </w:r>
          </w:p>
          <w:p w14:paraId="26F21D87" w14:textId="31B169B4" w:rsidR="008E7E49" w:rsidRPr="00940BAC" w:rsidRDefault="008E7E49" w:rsidP="008E7E49"/>
          <w:p w14:paraId="4F4D3256" w14:textId="64D5D528" w:rsidR="008E7E49" w:rsidRPr="00940BAC" w:rsidRDefault="008E7E49" w:rsidP="008E7E49"/>
          <w:p w14:paraId="1FD1E01D" w14:textId="00122F4C" w:rsidR="008E7E49" w:rsidRPr="00940BAC" w:rsidRDefault="008E7E49" w:rsidP="00FF6B5A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B0F0"/>
                <w:lang w:eastAsia="sk-SK"/>
              </w:rPr>
            </w:pPr>
          </w:p>
        </w:tc>
      </w:tr>
      <w:tr w:rsidR="00FF6B5A" w:rsidRPr="00940BAC" w14:paraId="6CDCFCE9" w14:textId="77777777" w:rsidTr="292B8FC6">
        <w:trPr>
          <w:trHeight w:val="510"/>
        </w:trPr>
        <w:tc>
          <w:tcPr>
            <w:tcW w:w="160" w:type="dxa"/>
            <w:shd w:val="clear" w:color="auto" w:fill="auto"/>
            <w:vAlign w:val="bottom"/>
            <w:hideMark/>
          </w:tcPr>
          <w:p w14:paraId="0AD58B39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2041" w:type="dxa"/>
            <w:gridSpan w:val="2"/>
            <w:shd w:val="clear" w:color="auto" w:fill="DAE3F3"/>
            <w:vAlign w:val="center"/>
            <w:hideMark/>
          </w:tcPr>
          <w:p w14:paraId="3D4AD0F7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OCA7. </w:t>
            </w:r>
            <w:r w:rsidRPr="00940BAC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Rok vydania výstupu tvorivej činnosti</w:t>
            </w: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Year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publication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artistic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6800" w:type="dxa"/>
            <w:shd w:val="clear" w:color="auto" w:fill="auto"/>
            <w:hideMark/>
          </w:tcPr>
          <w:p w14:paraId="7A3F639A" w14:textId="01FA875E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2018</w:t>
            </w:r>
          </w:p>
        </w:tc>
      </w:tr>
      <w:tr w:rsidR="00FF6B5A" w:rsidRPr="00940BAC" w14:paraId="7E3C7493" w14:textId="77777777" w:rsidTr="292B8FC6">
        <w:trPr>
          <w:trHeight w:val="660"/>
        </w:trPr>
        <w:tc>
          <w:tcPr>
            <w:tcW w:w="160" w:type="dxa"/>
            <w:shd w:val="clear" w:color="auto" w:fill="auto"/>
            <w:vAlign w:val="bottom"/>
            <w:hideMark/>
          </w:tcPr>
          <w:p w14:paraId="74DF5B1F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041" w:type="dxa"/>
            <w:gridSpan w:val="2"/>
            <w:shd w:val="clear" w:color="auto" w:fill="D9E1F2"/>
            <w:vAlign w:val="center"/>
            <w:hideMark/>
          </w:tcPr>
          <w:p w14:paraId="37B7A46E" w14:textId="77777777" w:rsidR="00FF6B5A" w:rsidRPr="00940BAC" w:rsidRDefault="006700C6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8" w:anchor="'poznamky_explanatory notes'!A1" w:history="1"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OCA8. </w:t>
              </w:r>
              <w:r w:rsidR="00FF6B5A" w:rsidRPr="00940BAC">
                <w:rPr>
                  <w:rFonts w:ascii="Calibri" w:eastAsia="Times New Roman" w:hAnsi="Calibri" w:cs="Times New Roman"/>
                  <w:b/>
                  <w:lang w:eastAsia="sk-SK"/>
                </w:rPr>
                <w:t>ID záznamu v CREPČ alebo CREUČ</w:t>
              </w:r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r w:rsidR="00FF6B5A" w:rsidRPr="00940BAC">
                <w:rPr>
                  <w:rFonts w:ascii="Calibri" w:eastAsia="Times New Roman" w:hAnsi="Calibri" w:cs="Times New Roman"/>
                  <w:i/>
                  <w:iCs/>
                  <w:lang w:eastAsia="sk-SK"/>
                </w:rPr>
                <w:t>(ak je)</w:t>
              </w:r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/ ID of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Publication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(CRPA) or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(CRAA)</w:t>
              </w:r>
            </w:hyperlink>
            <w:r w:rsidR="00532FE9" w:rsidRPr="00940BAC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5"/>
            </w:r>
          </w:p>
        </w:tc>
        <w:tc>
          <w:tcPr>
            <w:tcW w:w="6800" w:type="dxa"/>
            <w:shd w:val="clear" w:color="auto" w:fill="auto"/>
            <w:hideMark/>
          </w:tcPr>
          <w:p w14:paraId="0DF7A71E" w14:textId="77777777" w:rsidR="002A5245" w:rsidRPr="002A5245" w:rsidRDefault="002A5245" w:rsidP="002A5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ID: 115274 | </w:t>
            </w:r>
            <w:r w:rsidRPr="002A524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Na ceste k právu na splnenie ako prostriedku nápravy v slovenskom práve</w:t>
            </w:r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 : 4. kapitola / Jurčová, Monika [Autor, 100%] </w:t>
            </w:r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2A524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In:</w:t>
            </w:r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2A5245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Jednotný systém nesplnenia a prostriedkov nápravy: Návrh koncepcie a pravidiel (ustanovení) budúcej právnej úpravy</w:t>
            </w:r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 [textový dokument (</w:t>
            </w:r>
            <w:proofErr w:type="spellStart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print</w:t>
            </w:r>
            <w:proofErr w:type="spellEnd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)] / </w:t>
            </w:r>
            <w:proofErr w:type="spellStart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Štefanko</w:t>
            </w:r>
            <w:proofErr w:type="spellEnd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Jozef [Zostavovateľ, editor] ; </w:t>
            </w:r>
            <w:proofErr w:type="spellStart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Dulaková</w:t>
            </w:r>
            <w:proofErr w:type="spellEnd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Jakúbeková</w:t>
            </w:r>
            <w:proofErr w:type="spellEnd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Denisa [Recenzent] ; </w:t>
            </w:r>
            <w:proofErr w:type="spellStart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Hulmák</w:t>
            </w:r>
            <w:proofErr w:type="spellEnd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Milan [Recenzent] ; </w:t>
            </w:r>
            <w:proofErr w:type="spellStart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Šilhán</w:t>
            </w:r>
            <w:proofErr w:type="spellEnd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Josef</w:t>
            </w:r>
            <w:proofErr w:type="spellEnd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[Recenzent]. – 1. vyd. – Praha (Česko) : Nakladatelství Leges, 2018. – (Teoretik). – ISBN 978-80-7502-327-8, s. 53-72 [1,35 AH] [tlačená forma]</w:t>
            </w:r>
          </w:p>
          <w:p w14:paraId="1B2BE6A8" w14:textId="138D8080" w:rsidR="00422600" w:rsidRPr="00940BAC" w:rsidRDefault="00422600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940BAC" w14:paraId="488E438E" w14:textId="77777777" w:rsidTr="292B8FC6">
        <w:trPr>
          <w:trHeight w:val="525"/>
        </w:trPr>
        <w:tc>
          <w:tcPr>
            <w:tcW w:w="160" w:type="dxa"/>
            <w:shd w:val="clear" w:color="auto" w:fill="auto"/>
            <w:vAlign w:val="bottom"/>
            <w:hideMark/>
          </w:tcPr>
          <w:p w14:paraId="7051186C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041" w:type="dxa"/>
            <w:gridSpan w:val="2"/>
            <w:shd w:val="clear" w:color="auto" w:fill="D9E1F2"/>
            <w:vAlign w:val="center"/>
            <w:hideMark/>
          </w:tcPr>
          <w:p w14:paraId="7222CC29" w14:textId="77777777" w:rsidR="00FF6B5A" w:rsidRPr="00940BAC" w:rsidRDefault="006700C6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9" w:anchor="'poznamky_explanatory notes'!A1" w:history="1"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OCA9.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CREPČ alebo CREUČ</w:t>
              </w:r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lastRenderedPageBreak/>
                <w:t>record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in CRPA or CRAA </w:t>
              </w:r>
            </w:hyperlink>
            <w:r w:rsidR="00532FE9" w:rsidRPr="00940BAC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6"/>
            </w:r>
          </w:p>
        </w:tc>
        <w:tc>
          <w:tcPr>
            <w:tcW w:w="6800" w:type="dxa"/>
            <w:shd w:val="clear" w:color="auto" w:fill="auto"/>
            <w:hideMark/>
          </w:tcPr>
          <w:p w14:paraId="2F0539B3" w14:textId="77777777" w:rsidR="002A5245" w:rsidRPr="00940BAC" w:rsidRDefault="00FF6B5A" w:rsidP="002A5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 </w:t>
            </w:r>
            <w:hyperlink r:id="rId20" w:tgtFrame="_blank" w:history="1">
              <w:r w:rsidR="002A5245" w:rsidRPr="00940BAC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https://app.crepc.sk/?fn=detailBiblioForm&amp;sid=462AB66412DC69E3ABAFEED274</w:t>
              </w:r>
            </w:hyperlink>
          </w:p>
          <w:p w14:paraId="3BFF3482" w14:textId="768351E7" w:rsidR="00FF6B5A" w:rsidRPr="00940BAC" w:rsidRDefault="00FF6B5A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86832" w:rsidRPr="00940BAC" w14:paraId="77FC843C" w14:textId="77777777" w:rsidTr="292B8FC6">
        <w:trPr>
          <w:trHeight w:val="525"/>
        </w:trPr>
        <w:tc>
          <w:tcPr>
            <w:tcW w:w="160" w:type="dxa"/>
            <w:shd w:val="clear" w:color="auto" w:fill="auto"/>
            <w:vAlign w:val="bottom"/>
          </w:tcPr>
          <w:p w14:paraId="14C280BF" w14:textId="77777777" w:rsidR="00C86832" w:rsidRPr="00940BAC" w:rsidRDefault="00C86832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041" w:type="dxa"/>
            <w:gridSpan w:val="2"/>
            <w:shd w:val="clear" w:color="auto" w:fill="D9E1F2"/>
            <w:vAlign w:val="center"/>
          </w:tcPr>
          <w:p w14:paraId="04D1D0EB" w14:textId="77777777" w:rsidR="00C86832" w:rsidRPr="00940BAC" w:rsidRDefault="00C86832" w:rsidP="00532FE9">
            <w:pPr>
              <w:spacing w:after="0" w:line="240" w:lineRule="auto"/>
            </w:pPr>
          </w:p>
        </w:tc>
        <w:tc>
          <w:tcPr>
            <w:tcW w:w="6800" w:type="dxa"/>
            <w:shd w:val="clear" w:color="auto" w:fill="auto"/>
          </w:tcPr>
          <w:p w14:paraId="00487D53" w14:textId="77777777" w:rsidR="00C86832" w:rsidRPr="00940BAC" w:rsidRDefault="00C86832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940BAC" w14:paraId="2C5D4378" w14:textId="77777777" w:rsidTr="292B8FC6">
        <w:trPr>
          <w:trHeight w:val="1065"/>
        </w:trPr>
        <w:tc>
          <w:tcPr>
            <w:tcW w:w="160" w:type="dxa"/>
            <w:shd w:val="clear" w:color="auto" w:fill="auto"/>
            <w:vAlign w:val="bottom"/>
            <w:hideMark/>
          </w:tcPr>
          <w:p w14:paraId="2D69DCA6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6" w:type="dxa"/>
            <w:vMerge w:val="restart"/>
            <w:shd w:val="clear" w:color="auto" w:fill="DAE3F3"/>
            <w:textDirection w:val="btLr"/>
            <w:vAlign w:val="center"/>
            <w:hideMark/>
          </w:tcPr>
          <w:p w14:paraId="51428EEA" w14:textId="77777777" w:rsidR="00FF6B5A" w:rsidRPr="00940BAC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Charakteristika výstupu, ktorý nie je registrovaný v CREPČ alebo CREUČ /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registered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CRPA or CRAA</w:t>
            </w:r>
          </w:p>
        </w:tc>
        <w:tc>
          <w:tcPr>
            <w:tcW w:w="1725" w:type="dxa"/>
            <w:shd w:val="clear" w:color="auto" w:fill="D9E1F2"/>
            <w:vAlign w:val="center"/>
            <w:hideMark/>
          </w:tcPr>
          <w:p w14:paraId="01719335" w14:textId="77777777" w:rsidR="00FF6B5A" w:rsidRPr="00940BAC" w:rsidRDefault="006700C6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1" w:anchor="'poznamky_explanatory notes'!A1" w:history="1"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OCA10.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inom verejne prístupnom registri</w:t>
              </w:r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, katalógu výstupov tvorivých činností /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another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publicly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accessible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register,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catalogue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outputs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532FE9" w:rsidRPr="00940BAC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7"/>
            </w:r>
          </w:p>
        </w:tc>
        <w:tc>
          <w:tcPr>
            <w:tcW w:w="6800" w:type="dxa"/>
            <w:shd w:val="clear" w:color="auto" w:fill="auto"/>
            <w:hideMark/>
          </w:tcPr>
          <w:p w14:paraId="7D2916D1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940BAC" w14:paraId="7F44C330" w14:textId="77777777" w:rsidTr="292B8FC6">
        <w:trPr>
          <w:trHeight w:val="1515"/>
        </w:trPr>
        <w:tc>
          <w:tcPr>
            <w:tcW w:w="160" w:type="dxa"/>
            <w:shd w:val="clear" w:color="auto" w:fill="auto"/>
            <w:vAlign w:val="bottom"/>
            <w:hideMark/>
          </w:tcPr>
          <w:p w14:paraId="10F2150F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14:paraId="321E9859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725" w:type="dxa"/>
            <w:shd w:val="clear" w:color="auto" w:fill="DAE3F3"/>
            <w:vAlign w:val="center"/>
            <w:hideMark/>
          </w:tcPr>
          <w:p w14:paraId="5AC75523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OCA11. Charakteristika výstupu vo formáte bibliografického záznamu CREPČ alebo CREUČ, ak výstup nie je vo verejne prístupnom registri alebo katalógu výstupov /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in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format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CRPA or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CRAA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bibliographic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record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if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publicly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accessible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register or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catalogue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outputs</w:t>
            </w:r>
            <w:proofErr w:type="spellEnd"/>
          </w:p>
        </w:tc>
        <w:tc>
          <w:tcPr>
            <w:tcW w:w="6800" w:type="dxa"/>
            <w:shd w:val="clear" w:color="auto" w:fill="auto"/>
            <w:hideMark/>
          </w:tcPr>
          <w:p w14:paraId="2C1A1282" w14:textId="07B649C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 </w:t>
            </w:r>
            <w:r w:rsidR="00BC3494"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</w:p>
        </w:tc>
      </w:tr>
      <w:tr w:rsidR="00FF6B5A" w:rsidRPr="00940BAC" w14:paraId="047C5B08" w14:textId="77777777" w:rsidTr="292B8FC6">
        <w:trPr>
          <w:trHeight w:val="1290"/>
        </w:trPr>
        <w:tc>
          <w:tcPr>
            <w:tcW w:w="160" w:type="dxa"/>
            <w:shd w:val="clear" w:color="auto" w:fill="auto"/>
            <w:vAlign w:val="bottom"/>
            <w:hideMark/>
          </w:tcPr>
          <w:p w14:paraId="0C0110F6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14:paraId="1FF45F0C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725" w:type="dxa"/>
            <w:shd w:val="clear" w:color="auto" w:fill="D9E1F2"/>
            <w:vAlign w:val="center"/>
            <w:hideMark/>
          </w:tcPr>
          <w:p w14:paraId="7CEF133E" w14:textId="77777777" w:rsidR="00FF6B5A" w:rsidRPr="00940BAC" w:rsidRDefault="006700C6" w:rsidP="00087B3E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2" w:anchor="Expl.OCA12!A1" w:history="1"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OCA12. Typ výstupu (ak nie je výstup registrovaný v CREPČ alebo CREUČ) / Type of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output (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if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is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not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registered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in CRPA or CRAA)</w:t>
              </w:r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br/>
              </w:r>
            </w:hyperlink>
          </w:p>
        </w:tc>
        <w:tc>
          <w:tcPr>
            <w:tcW w:w="6800" w:type="dxa"/>
            <w:shd w:val="clear" w:color="auto" w:fill="auto"/>
            <w:hideMark/>
          </w:tcPr>
          <w:p w14:paraId="7AC22117" w14:textId="642AE48B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 </w:t>
            </w:r>
            <w:r w:rsidR="00BC3494" w:rsidRPr="00940BAC"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  <w:t>X</w:t>
            </w:r>
          </w:p>
        </w:tc>
      </w:tr>
      <w:tr w:rsidR="00FF6B5A" w:rsidRPr="00940BAC" w14:paraId="11DB7B66" w14:textId="77777777" w:rsidTr="292B8FC6">
        <w:trPr>
          <w:trHeight w:val="1110"/>
        </w:trPr>
        <w:tc>
          <w:tcPr>
            <w:tcW w:w="160" w:type="dxa"/>
            <w:shd w:val="clear" w:color="auto" w:fill="auto"/>
            <w:vAlign w:val="bottom"/>
            <w:hideMark/>
          </w:tcPr>
          <w:p w14:paraId="31BCF622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14:paraId="393B40FB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725" w:type="dxa"/>
            <w:shd w:val="clear" w:color="auto" w:fill="DAE3F3"/>
            <w:vAlign w:val="center"/>
            <w:hideMark/>
          </w:tcPr>
          <w:p w14:paraId="3138B3BA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OCA13. </w:t>
            </w:r>
            <w:proofErr w:type="spellStart"/>
            <w:r w:rsidRPr="00940BAC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Hyperlink</w:t>
            </w:r>
            <w:proofErr w:type="spellEnd"/>
            <w:r w:rsidRPr="00940BAC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na stránku, na ktorej je výstup sprístupnený</w:t>
            </w: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(úplný text, iná dokumentácia a podobne) /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Hyperlink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webpage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where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full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text,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documentation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, etc.)</w:t>
            </w:r>
          </w:p>
        </w:tc>
        <w:tc>
          <w:tcPr>
            <w:tcW w:w="6800" w:type="dxa"/>
            <w:shd w:val="clear" w:color="auto" w:fill="auto"/>
            <w:hideMark/>
          </w:tcPr>
          <w:p w14:paraId="6753B88A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940BAC" w14:paraId="76661205" w14:textId="77777777" w:rsidTr="292B8FC6">
        <w:trPr>
          <w:trHeight w:val="765"/>
        </w:trPr>
        <w:tc>
          <w:tcPr>
            <w:tcW w:w="160" w:type="dxa"/>
            <w:shd w:val="clear" w:color="auto" w:fill="auto"/>
            <w:vAlign w:val="bottom"/>
            <w:hideMark/>
          </w:tcPr>
          <w:p w14:paraId="2C19B5CC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14:paraId="7160205C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725" w:type="dxa"/>
            <w:shd w:val="clear" w:color="auto" w:fill="DAE3F3"/>
            <w:vAlign w:val="center"/>
            <w:hideMark/>
          </w:tcPr>
          <w:p w14:paraId="0FC64DAE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OCA14. Charakteristika autorského vkladu /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author's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contribution</w:t>
            </w:r>
            <w:proofErr w:type="spellEnd"/>
          </w:p>
        </w:tc>
        <w:tc>
          <w:tcPr>
            <w:tcW w:w="6800" w:type="dxa"/>
            <w:shd w:val="clear" w:color="auto" w:fill="auto"/>
            <w:hideMark/>
          </w:tcPr>
          <w:p w14:paraId="459EC12F" w14:textId="6B8A563A" w:rsidR="00FF6B5A" w:rsidRPr="00940BAC" w:rsidRDefault="776FD49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Autor/ </w:t>
            </w:r>
            <w:proofErr w:type="spellStart"/>
            <w:r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author</w:t>
            </w:r>
            <w:proofErr w:type="spellEnd"/>
          </w:p>
        </w:tc>
      </w:tr>
      <w:tr w:rsidR="00FF6B5A" w:rsidRPr="00940BAC" w14:paraId="43D2DB01" w14:textId="77777777" w:rsidTr="292B8FC6">
        <w:trPr>
          <w:trHeight w:val="2310"/>
        </w:trPr>
        <w:tc>
          <w:tcPr>
            <w:tcW w:w="160" w:type="dxa"/>
            <w:shd w:val="clear" w:color="auto" w:fill="auto"/>
            <w:vAlign w:val="bottom"/>
            <w:hideMark/>
          </w:tcPr>
          <w:p w14:paraId="44CE43E0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14:paraId="380EBE2B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725" w:type="dxa"/>
            <w:shd w:val="clear" w:color="auto" w:fill="D9E1F2"/>
            <w:vAlign w:val="center"/>
            <w:hideMark/>
          </w:tcPr>
          <w:p w14:paraId="28A250A3" w14:textId="77777777" w:rsidR="00FF6B5A" w:rsidRPr="00940BAC" w:rsidRDefault="006700C6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3" w:anchor="'poznamky_explanatory notes'!A1" w:history="1"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OCA15. </w:t>
              </w:r>
              <w:r w:rsidR="00FF6B5A" w:rsidRPr="00940BAC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s kontextovými informáciami týkajúcimi sa opisu tvorivého procesu a obsahu tvorivej činnosti a pod</w:t>
              </w:r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. /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with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contextual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information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concerning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lastRenderedPageBreak/>
                <w:t>description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creative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process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and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content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, etc. </w:t>
              </w:r>
              <w:r w:rsidR="00532FE9" w:rsidRPr="00940BAC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8"/>
              </w:r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v slovenskom jazyku /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Slovak</w:t>
              </w:r>
              <w:r w:rsidR="00FF6B5A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br w:type="page"/>
                <w:t xml:space="preserve">Rozsah do 200 slov v anglickom jazyku /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English </w:t>
              </w:r>
            </w:hyperlink>
          </w:p>
        </w:tc>
        <w:tc>
          <w:tcPr>
            <w:tcW w:w="6800" w:type="dxa"/>
            <w:shd w:val="clear" w:color="auto" w:fill="auto"/>
            <w:hideMark/>
          </w:tcPr>
          <w:p w14:paraId="75FC4EF5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 </w:t>
            </w:r>
          </w:p>
          <w:p w14:paraId="6B6E13B9" w14:textId="3835FDA9" w:rsidR="00422600" w:rsidRPr="00940BAC" w:rsidRDefault="1A5695DB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Výstup je</w:t>
            </w:r>
            <w:r w:rsidR="5BB1B0A9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čiastkovým </w:t>
            </w:r>
            <w:r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výsledkom riešenia grantového projektu</w:t>
            </w:r>
            <w:r w:rsidR="7BA2F34E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Porušenie zmluvných povinností a nesplnenie dlhu  v súkromnom práve a ich následky- analýza a tvorba terminologicky a systematicky odôvodneného a jednotného systému nápravných prostriedkov pre zmluvné strany podnikateľov, nepodnikateľov aj spotrebiteľov. </w:t>
            </w:r>
            <w:r w:rsidR="3B042342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r w:rsidR="7C5F3E10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N</w:t>
            </w:r>
            <w:r w:rsidR="3B042342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esplnenie zmluvných povinnosti, dlhov a ich následky sú v slovenskom súkromnom práve upravené osobitne v jednotlivých kódexoch a zákonoch (OZ, OBZ, ZOS a iné osobitné zákony) a ani tieto úpravy pre občianske, obchodné a spotrebiteľské zmluvné vzťahy nie sú vo svojom vnútri založené na systematickom prístupe a vzhľadom na odlišnú dobu vzniku a zdroj inšpirácie vychádzajú z rozdielnych základov uplatnenia jednotlivých následkov. Projekt má ambíciu na báze CISG, UPICC, PECL, DCFR, CESL, BGB a NOZ realizovať základný výskum s cieľom definične a terminologicky </w:t>
            </w:r>
            <w:r w:rsidR="3B042342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lastRenderedPageBreak/>
              <w:t xml:space="preserve">ustáliť jednotný model porušenia zmluvných povinností/ nesplnenia dlhov a ich právnych následkov, ktorý poskytne solídnu základňu inkorporácii </w:t>
            </w:r>
            <w:proofErr w:type="spellStart"/>
            <w:r w:rsidR="3B042342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eurolegislatívy</w:t>
            </w:r>
            <w:proofErr w:type="spellEnd"/>
            <w:r w:rsidR="3B042342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, aby bola zabezpečená kompatibilita slovenskej úpravy so smerovaním európskeho súkromného práva. Funkčnosť modelu má priamy dopad na právnu istotu subjektov a vymožiteľnosť práva. Sekundárnym výsledkom má byť prevencia negatívnych ekonomických javov ako neplnenie povinností a platobná neschopnosť.</w:t>
            </w:r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/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paper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is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partial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result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of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project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Breach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of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contract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and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non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-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performance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of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obligation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and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their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consequences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in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private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law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–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analysis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and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creation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of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terminologically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and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systematically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grounded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system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of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remedies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for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contract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parties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: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businesses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,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consumers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and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others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.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Non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–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performance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of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obligation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and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its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consequences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are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differentially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regulated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in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particular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Codes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and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Acts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(CC,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CommC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,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Act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on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Consumer´s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Protection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and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others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) in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Slovak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private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law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.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These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regulations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for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civil,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commercial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and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consumer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contracts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are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not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established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on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systematic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approach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and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with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regard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to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time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of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their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enactment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and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source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of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inspiration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they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come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out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of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different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basis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for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application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of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particular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remedies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.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project´s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ambition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is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; on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basis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CISG, UPICC, PECL, DCFR, CESL, BGB a NOZ; to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realize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scientific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research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aimed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at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drafting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terminologically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and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systematically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reliable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model of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breach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of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contract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/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non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-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performance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of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obligation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and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its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remedies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to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provide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solid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basis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for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incorporation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of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European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law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and to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secure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compatible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development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of Slovak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law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next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to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European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private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law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.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functionality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and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utility of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model has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direct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impact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on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legal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security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of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parties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and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efficiency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of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law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enforcement</w:t>
            </w:r>
            <w:proofErr w:type="spellEnd"/>
            <w:r w:rsidR="39201257" w:rsidRPr="5416770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.</w:t>
            </w:r>
          </w:p>
          <w:p w14:paraId="78F790D2" w14:textId="77777777" w:rsidR="00422600" w:rsidRPr="00940BAC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4C7BC8CA" w14:textId="77777777" w:rsidR="00422600" w:rsidRPr="00940BAC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940BAC" w14:paraId="7CFF4012" w14:textId="77777777" w:rsidTr="292B8FC6">
        <w:trPr>
          <w:trHeight w:val="915"/>
        </w:trPr>
        <w:tc>
          <w:tcPr>
            <w:tcW w:w="160" w:type="dxa"/>
            <w:shd w:val="clear" w:color="auto" w:fill="auto"/>
            <w:vAlign w:val="bottom"/>
            <w:hideMark/>
          </w:tcPr>
          <w:p w14:paraId="0B28853E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041" w:type="dxa"/>
            <w:gridSpan w:val="2"/>
            <w:shd w:val="clear" w:color="auto" w:fill="D9E1F2"/>
            <w:vAlign w:val="center"/>
            <w:hideMark/>
          </w:tcPr>
          <w:p w14:paraId="2C8C40C4" w14:textId="77777777" w:rsidR="00FF6B5A" w:rsidRPr="00940BAC" w:rsidRDefault="006700C6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4" w:anchor="'poznamky_explanatory notes'!A1" w:history="1"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OCA16. </w:t>
              </w:r>
              <w:r w:rsidR="00FF6B5A" w:rsidRPr="00940BAC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v anglickom jazyku</w:t>
              </w:r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t xml:space="preserve"> output in English </w:t>
              </w:r>
              <w:r w:rsidR="00532FE9" w:rsidRPr="00940BAC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9"/>
              </w:r>
              <w:r w:rsidR="00FF6B5A" w:rsidRPr="00940BAC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/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940BAC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</w:hyperlink>
          </w:p>
        </w:tc>
        <w:tc>
          <w:tcPr>
            <w:tcW w:w="6800" w:type="dxa"/>
            <w:shd w:val="clear" w:color="auto" w:fill="auto"/>
            <w:hideMark/>
          </w:tcPr>
          <w:p w14:paraId="7361FF76" w14:textId="0D797D1A" w:rsidR="00940BAC" w:rsidRPr="00940BAC" w:rsidRDefault="00940BAC" w:rsidP="00C548C4">
            <w:pPr>
              <w:pStyle w:val="Normlnywebov"/>
              <w:shd w:val="clear" w:color="auto" w:fill="FFFFFF"/>
              <w:jc w:val="both"/>
              <w:rPr>
                <w:sz w:val="22"/>
                <w:szCs w:val="22"/>
              </w:rPr>
            </w:pPr>
            <w:r w:rsidRPr="00940BAC">
              <w:rPr>
                <w:rFonts w:ascii="Arial" w:hAnsi="Arial" w:cs="Arial"/>
                <w:sz w:val="22"/>
                <w:szCs w:val="22"/>
              </w:rPr>
              <w:t xml:space="preserve">Model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rules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based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on a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unitary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model of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non-performance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remedies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unity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rules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has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two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stages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application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firstly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unified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model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manifested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by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merging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individual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forms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non-performance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i.e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defective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performance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delayed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performance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non-performance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at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all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are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merged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under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unified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concept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secondly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unification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presented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by a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uniform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application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given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set of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remedies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..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availability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remedy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aggrieved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party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based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particular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two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criteria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determination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whether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non-performance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fundamental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and to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determine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whether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defaulting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party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liable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non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performance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remedies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non-compliance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are: a)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right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performance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b)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right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withdraw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performance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, c)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right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discount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price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, d)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right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claim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interest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late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payment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, e)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right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to a lump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sum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compensation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recovery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costs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, f)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damages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and g)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right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terminate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contract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After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termination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settlement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rules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unity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sanctions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.  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Right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top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performance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creates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corner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stone of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0BAC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940BA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F0EFCA5" w14:textId="77777777" w:rsidR="00422600" w:rsidRPr="00940BAC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940BAC" w14:paraId="478BE4C7" w14:textId="77777777" w:rsidTr="292B8FC6">
        <w:trPr>
          <w:trHeight w:val="810"/>
        </w:trPr>
        <w:tc>
          <w:tcPr>
            <w:tcW w:w="160" w:type="dxa"/>
            <w:shd w:val="clear" w:color="auto" w:fill="auto"/>
            <w:vAlign w:val="bottom"/>
            <w:hideMark/>
          </w:tcPr>
          <w:p w14:paraId="6749F5BD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041" w:type="dxa"/>
            <w:gridSpan w:val="2"/>
            <w:shd w:val="clear" w:color="auto" w:fill="DAE3F3"/>
            <w:vAlign w:val="center"/>
            <w:hideMark/>
          </w:tcPr>
          <w:p w14:paraId="1B652F9A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OCA17. </w:t>
            </w:r>
            <w:r w:rsidRPr="00940BAC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Zoznam najviac 5 najvýznamnejších ohlasov na výstup</w:t>
            </w: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/ List of maximum 5 most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significant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citations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corresponding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/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</w:p>
        </w:tc>
        <w:tc>
          <w:tcPr>
            <w:tcW w:w="6800" w:type="dxa"/>
            <w:shd w:val="clear" w:color="auto" w:fill="auto"/>
            <w:hideMark/>
          </w:tcPr>
          <w:p w14:paraId="13DFD58E" w14:textId="1AE54AC1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18F55483" w14:textId="7B2022D5" w:rsidR="002A5245" w:rsidRPr="002A5245" w:rsidRDefault="002A5245" w:rsidP="002A5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1: </w:t>
            </w:r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132598: Zodpovednosť člena štatutárneho orgánu kapitálovej obchodnej spoločnosti a návrh zmeny zodpovednostného systému v súkromnom práve = </w:t>
            </w:r>
            <w:proofErr w:type="spellStart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Responsibility</w:t>
            </w:r>
            <w:proofErr w:type="spellEnd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a </w:t>
            </w:r>
            <w:proofErr w:type="spellStart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member</w:t>
            </w:r>
            <w:proofErr w:type="spellEnd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statutory</w:t>
            </w:r>
            <w:proofErr w:type="spellEnd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body of a </w:t>
            </w:r>
            <w:proofErr w:type="spellStart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limited</w:t>
            </w:r>
            <w:proofErr w:type="spellEnd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liability</w:t>
            </w:r>
            <w:proofErr w:type="spellEnd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company</w:t>
            </w:r>
            <w:proofErr w:type="spellEnd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proposed</w:t>
            </w:r>
            <w:proofErr w:type="spellEnd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amendments</w:t>
            </w:r>
            <w:proofErr w:type="spellEnd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system</w:t>
            </w:r>
            <w:proofErr w:type="spellEnd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responsibility</w:t>
            </w:r>
            <w:proofErr w:type="spellEnd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private</w:t>
            </w:r>
            <w:proofErr w:type="spellEnd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Žitňanská</w:t>
            </w:r>
            <w:proofErr w:type="spellEnd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, Lucia [Autor, 100%]. – [recenzované] </w:t>
            </w:r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2A524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In:</w:t>
            </w:r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2A5245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Právny obzor</w:t>
            </w:r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 [textový dokument (</w:t>
            </w:r>
            <w:proofErr w:type="spellStart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print</w:t>
            </w:r>
            <w:proofErr w:type="spellEnd"/>
            <w:r w:rsidRPr="002A5245">
              <w:rPr>
                <w:rFonts w:ascii="Calibri" w:eastAsia="Times New Roman" w:hAnsi="Calibri" w:cs="Times New Roman"/>
                <w:color w:val="000000"/>
                <w:lang w:eastAsia="sk-SK"/>
              </w:rPr>
              <w:t>)] : teoretický časopis pre otázky štátu a práva. – Bratislava (Slovensko) : Slovenská akadémia vied. Pracoviská SAV. Ústav štátu a práva SAV. – ISSN 0032-6984. – TUTPR signatúra E003589. – Roč. 102, č. 3 (2019), s. 266-283 [tlačená forma]</w:t>
            </w:r>
          </w:p>
          <w:p w14:paraId="3E5261F1" w14:textId="5C82188A" w:rsidR="002A5245" w:rsidRPr="00940BAC" w:rsidRDefault="002A5245" w:rsidP="002A5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2.</w:t>
            </w:r>
            <w:r w:rsidRPr="00940BAC">
              <w:rPr>
                <w:rFonts w:ascii="Helvetica Neue" w:eastAsia="Times New Roman" w:hAnsi="Helvetica Neue" w:cs="Times New Roman"/>
                <w:color w:val="333333"/>
                <w:shd w:val="clear" w:color="auto" w:fill="F5F5F5"/>
                <w:lang w:eastAsia="sk-SK"/>
              </w:rPr>
              <w:t xml:space="preserve"> </w:t>
            </w: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152945: Zodpovednosť člena štatutárneho orgánu voči veriteľom podľa platného práva a podľa návrhu rekodifikácie zodpovednostného systému súkromného práva =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liability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member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statutory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body to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creditors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company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pursuant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applicable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according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draft of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liability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system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private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Žitňanská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, Lucia [Autor, 100%] ; Právo, obchod, ekonomika, 9 [23.10.2019-25.10.2019, Vysoké Tatry, Slovensko] </w:t>
            </w: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940BAC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In:</w:t>
            </w: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940BAC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Právo, obchod, ekonomika 9</w:t>
            </w: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 [textový dokument (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print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)] [elektronický dokument] : zborník príspevkov z medzinárodného vedeckého sympózia /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Suchoža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Jozef [Zostavovateľ, editor] ; Husár, Ján [Zostavovateľ, editor] ;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Hučková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Regina [Zostavovateľ, editor] ;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Dobrovičová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Gabriela [Recenzent] ;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Krunková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Alena [Recenzent] ;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Štrkolec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, Miroslav [Recenzent]. – 1. vyd. – Košice (Slovensko) : Univerzita Pavla Jozefa Šafárika v Košiciach, 2019. – ISBN 978-80-8152-775-3. – ISBN 978-80-8152-776-0. – ISSN 2453-921X, s. 237-247 [tlačená forma] [online]</w:t>
            </w:r>
          </w:p>
          <w:p w14:paraId="0D105B51" w14:textId="79841E0F" w:rsidR="00422600" w:rsidRPr="00940BAC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940BAC" w14:paraId="47FE52C1" w14:textId="77777777" w:rsidTr="292B8FC6">
        <w:trPr>
          <w:trHeight w:val="1170"/>
        </w:trPr>
        <w:tc>
          <w:tcPr>
            <w:tcW w:w="160" w:type="dxa"/>
            <w:shd w:val="clear" w:color="auto" w:fill="auto"/>
            <w:vAlign w:val="bottom"/>
            <w:hideMark/>
          </w:tcPr>
          <w:p w14:paraId="5CD48287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041" w:type="dxa"/>
            <w:gridSpan w:val="2"/>
            <w:shd w:val="clear" w:color="auto" w:fill="DAE3F3"/>
            <w:vAlign w:val="center"/>
            <w:hideMark/>
          </w:tcPr>
          <w:p w14:paraId="5FA065E2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OCA18. </w:t>
            </w:r>
            <w:r w:rsidRPr="00940BAC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na spoločensko-hospodársku prax</w:t>
            </w: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output's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socio-economic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6800" w:type="dxa"/>
            <w:shd w:val="clear" w:color="auto" w:fill="auto"/>
            <w:hideMark/>
          </w:tcPr>
          <w:p w14:paraId="3F0DFFD0" w14:textId="201A7FFE" w:rsidR="007E0BFA" w:rsidRPr="007E0BFA" w:rsidRDefault="00FF6B5A" w:rsidP="007E0BFA">
            <w:pPr>
              <w:pStyle w:val="Normlnywebov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Dňa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15.10. 2018 Ministerstvo spravodlivosti Slovenskej republiky zverejnilo oznam o tom,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že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začalo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prvu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́ etapu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rekodifikácie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Občianskeho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zákonníka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. V tejto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súvislosti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predložilo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na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neformálne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verejné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pripomienkove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́ konanie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návrh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zákona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ktorým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sa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meni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́ a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dopĺňa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zákon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č. 40/1964 Zb.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Občiansky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zákonník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zneni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́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neskorších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predpisov a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niektore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́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ďalšie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zákony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. V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rámci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tohto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materiálu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zahrnuta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́ aj ŠIESTA HLAVA 8.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časti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OZ pod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názvom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NESPLNENIE A PROSTRIEDKY NÁPRAVY (§§798- 837),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ktora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́ preukazuje, že vedecký výstup je relevantný aj pre hospodársku prax a je zrejmé,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že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výsledky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́ takto priamo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využiteľne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>́</w:t>
            </w:r>
            <w:r w:rsidR="00C548C4">
              <w:rPr>
                <w:rFonts w:ascii="Arial" w:hAnsi="Arial" w:cs="Arial"/>
                <w:sz w:val="22"/>
                <w:szCs w:val="22"/>
              </w:rPr>
              <w:t>.</w:t>
            </w:r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48C4">
              <w:rPr>
                <w:rFonts w:ascii="Arial" w:hAnsi="Arial" w:cs="Arial"/>
                <w:sz w:val="22"/>
                <w:szCs w:val="22"/>
              </w:rPr>
              <w:t>V</w:t>
            </w:r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o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vzťahu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k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tým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častiam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slovenského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súkromného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práva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ktore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́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́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výsledkom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implementácie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európskych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predpisov </w:t>
            </w:r>
            <w:r w:rsidR="00C548C4">
              <w:rPr>
                <w:rFonts w:ascii="Arial" w:hAnsi="Arial" w:cs="Arial"/>
                <w:sz w:val="22"/>
                <w:szCs w:val="22"/>
              </w:rPr>
              <w:t xml:space="preserve">vedecký výstup preukazuje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vysoky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́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stupen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̌ kompatibility v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porovnani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́ so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súčasným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režimom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48C4">
              <w:rPr>
                <w:rFonts w:ascii="Arial" w:hAnsi="Arial" w:cs="Arial"/>
                <w:sz w:val="22"/>
                <w:szCs w:val="22"/>
              </w:rPr>
              <w:t xml:space="preserve">nesplnenia </w:t>
            </w:r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(porovnaj predaj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spotrebného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tovaru, ochrana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cestujúceho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pri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poskytovani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́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zájazdu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úroky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="00940BAC" w:rsidRPr="00940BAC">
              <w:rPr>
                <w:rFonts w:ascii="Arial" w:hAnsi="Arial" w:cs="Arial"/>
                <w:sz w:val="22"/>
                <w:szCs w:val="22"/>
              </w:rPr>
              <w:t>omeškania</w:t>
            </w:r>
            <w:proofErr w:type="spellEnd"/>
            <w:r w:rsidR="00940BAC" w:rsidRPr="00940BAC">
              <w:rPr>
                <w:rFonts w:ascii="Arial" w:hAnsi="Arial" w:cs="Arial"/>
                <w:sz w:val="22"/>
                <w:szCs w:val="22"/>
              </w:rPr>
              <w:t xml:space="preserve">). </w:t>
            </w:r>
            <w:r w:rsidR="00C548C4">
              <w:rPr>
                <w:rFonts w:ascii="Arial" w:hAnsi="Arial" w:cs="Arial"/>
                <w:sz w:val="22"/>
                <w:szCs w:val="22"/>
              </w:rPr>
              <w:t>Aj nadväzujúce práce na rekodifikácii súkromného práva v súčasnosti nadväzujú na modelové pravidlá a vedecký výstup.</w:t>
            </w:r>
            <w:r w:rsidR="007E0BFA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On 15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October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2018,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Ministry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Justice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Slovak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Republic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published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an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announcement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that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first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stage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recodification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Civil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has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begun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. In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context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it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submitted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informal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public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comment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a draft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law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amending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Act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No. 40/1964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Coll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.,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Civil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, as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amended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, and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certain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other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laws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Included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SIXTH TITLE of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8th part of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CC,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titled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NON-COMPLIANCE AND REPRODUCTIONS (§§798- 837),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which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demonstrates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that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scientific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output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also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relevant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economic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it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clear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that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results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are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thus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directly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usable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. In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relation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those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parts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of Slovak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private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law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which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are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result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lastRenderedPageBreak/>
              <w:t>the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implementation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European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regulations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scientific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output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demonstrates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high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degree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compatibility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compared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current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default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regime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cf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sale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consumer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goods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traveller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provision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of a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tour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, default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interest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).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follow-up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work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recodification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private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law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also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currently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building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model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rules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0BFA" w:rsidRPr="007E0BFA">
              <w:rPr>
                <w:rFonts w:ascii="Arial" w:hAnsi="Arial" w:cs="Arial"/>
                <w:sz w:val="22"/>
                <w:szCs w:val="22"/>
              </w:rPr>
              <w:t>scientific</w:t>
            </w:r>
            <w:proofErr w:type="spellEnd"/>
            <w:r w:rsidR="007E0BFA" w:rsidRPr="007E0BFA">
              <w:rPr>
                <w:rFonts w:ascii="Arial" w:hAnsi="Arial" w:cs="Arial"/>
                <w:sz w:val="22"/>
                <w:szCs w:val="22"/>
              </w:rPr>
              <w:t xml:space="preserve"> output.</w:t>
            </w:r>
          </w:p>
          <w:p w14:paraId="27717E12" w14:textId="33ACF1C4" w:rsidR="00FF6B5A" w:rsidRPr="00940BAC" w:rsidRDefault="00FF6B5A" w:rsidP="007E0BFA">
            <w:pPr>
              <w:pStyle w:val="Normlnywebov"/>
              <w:shd w:val="clear" w:color="auto" w:fill="FFFFFF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6B5A" w:rsidRPr="00940BAC" w14:paraId="6FDEE2BC" w14:textId="77777777" w:rsidTr="292B8FC6">
        <w:trPr>
          <w:trHeight w:val="1290"/>
        </w:trPr>
        <w:tc>
          <w:tcPr>
            <w:tcW w:w="160" w:type="dxa"/>
            <w:shd w:val="clear" w:color="auto" w:fill="auto"/>
            <w:vAlign w:val="bottom"/>
            <w:hideMark/>
          </w:tcPr>
          <w:p w14:paraId="02B98444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041" w:type="dxa"/>
            <w:gridSpan w:val="2"/>
            <w:shd w:val="clear" w:color="auto" w:fill="DAE3F3"/>
            <w:vAlign w:val="center"/>
            <w:hideMark/>
          </w:tcPr>
          <w:p w14:paraId="2213E97D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OCA19. </w:t>
            </w:r>
            <w:r w:rsidRPr="00940BAC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a súvisiacich aktivít na vzdelávací proces</w:t>
            </w:r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and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related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activities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'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educational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t>process</w:t>
            </w:r>
            <w:proofErr w:type="spellEnd"/>
            <w:r w:rsidRPr="00940BAC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940BAC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6800" w:type="dxa"/>
            <w:shd w:val="clear" w:color="auto" w:fill="auto"/>
            <w:hideMark/>
          </w:tcPr>
          <w:p w14:paraId="06CCCC4A" w14:textId="286372A0" w:rsidR="009D7969" w:rsidRDefault="007E0BFA" w:rsidP="009D79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Právo na splnenie</w:t>
            </w:r>
            <w:r w:rsid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 systematika právnych následkov nesplneni</w:t>
            </w:r>
            <w:r w:rsid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dlhu je základom porozumenia základov záväzkového práva. Navyše úplné porozumenie vyžaduje aj </w:t>
            </w:r>
            <w:r w:rsid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zohľadnenie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komparatívn</w:t>
            </w:r>
            <w:r w:rsid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ych prvkov a výhod a </w:t>
            </w:r>
            <w:proofErr w:type="spellStart"/>
            <w:r w:rsid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nevyýhod</w:t>
            </w:r>
            <w:proofErr w:type="spellEnd"/>
            <w:r w:rsid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odlišností naprieč kontinentálnym </w:t>
            </w:r>
            <w:proofErr w:type="spellStart"/>
            <w:r w:rsid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súkomným</w:t>
            </w:r>
            <w:proofErr w:type="spellEnd"/>
            <w:r w:rsid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právom.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všetko ma smerovať k uplatniteľnosti ochrany práva na splnenie a zabezpečovania jeho vymožiteľnosti v praxi absolventov práva. Vedecký výstup im poukazuje na vhodné cesty ako to dosiahnuť.</w:t>
            </w:r>
          </w:p>
          <w:p w14:paraId="454ADF03" w14:textId="458CB4AF" w:rsidR="009D7969" w:rsidRPr="009D7969" w:rsidRDefault="009D7969" w:rsidP="009D79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right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performance.and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systematics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legal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consequences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non-performance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fundamental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understanding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basics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obligations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Moreover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full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understanding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also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requires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consideration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comparative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elements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advantages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disadvantages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differences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across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continental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ivil</w:t>
            </w:r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All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this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be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directed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towards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applicability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protection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right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performance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ensuring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its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enforceability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graduates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scholarly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points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them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appropriate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ways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achieving</w:t>
            </w:r>
            <w:proofErr w:type="spellEnd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7969">
              <w:rPr>
                <w:rFonts w:ascii="Calibri" w:eastAsia="Times New Roman" w:hAnsi="Calibri" w:cs="Times New Roman"/>
                <w:color w:val="000000"/>
                <w:lang w:eastAsia="sk-SK"/>
              </w:rPr>
              <w:t>this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70F13082" w14:textId="7743546F" w:rsidR="00FF6B5A" w:rsidRPr="00940BAC" w:rsidRDefault="00FF6B5A" w:rsidP="009D79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940BAC" w14:paraId="51FB8844" w14:textId="77777777" w:rsidTr="292B8FC6">
        <w:trPr>
          <w:trHeight w:val="204"/>
        </w:trPr>
        <w:tc>
          <w:tcPr>
            <w:tcW w:w="160" w:type="dxa"/>
            <w:shd w:val="clear" w:color="auto" w:fill="auto"/>
            <w:vAlign w:val="bottom"/>
            <w:hideMark/>
          </w:tcPr>
          <w:p w14:paraId="54AD3BB5" w14:textId="77777777" w:rsidR="00FF6B5A" w:rsidRPr="00940BA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14D880DF" w14:textId="77777777" w:rsidR="00FF6B5A" w:rsidRPr="00940BAC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14:paraId="50D4B6FD" w14:textId="77777777" w:rsidR="00FF6B5A" w:rsidRPr="00940BAC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6800" w:type="dxa"/>
            <w:shd w:val="clear" w:color="auto" w:fill="auto"/>
            <w:hideMark/>
          </w:tcPr>
          <w:p w14:paraId="0B7CE8CC" w14:textId="77777777" w:rsidR="00FF6B5A" w:rsidRPr="00940BAC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39A76E59" w14:textId="77777777" w:rsidR="00502F15" w:rsidRPr="00940BAC" w:rsidRDefault="00502F15"/>
    <w:p w14:paraId="472BF122" w14:textId="41FC87F9" w:rsidR="00C86832" w:rsidRPr="00940BAC" w:rsidRDefault="00C86832"/>
    <w:sectPr w:rsidR="00C86832" w:rsidRPr="00940BAC" w:rsidSect="008E2108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620BE" w14:textId="77777777" w:rsidR="00FA05E9" w:rsidRDefault="00FA05E9" w:rsidP="00816E73">
      <w:pPr>
        <w:spacing w:after="0" w:line="240" w:lineRule="auto"/>
      </w:pPr>
      <w:r>
        <w:separator/>
      </w:r>
    </w:p>
  </w:endnote>
  <w:endnote w:type="continuationSeparator" w:id="0">
    <w:p w14:paraId="2231172C" w14:textId="77777777" w:rsidR="00FA05E9" w:rsidRDefault="00FA05E9" w:rsidP="0081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5B01" w14:textId="77777777" w:rsidR="00B15040" w:rsidRDefault="00B1504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9014" w14:textId="77777777" w:rsidR="00A23768" w:rsidRDefault="00A23768">
    <w:pPr>
      <w:pStyle w:val="Pta"/>
    </w:pPr>
    <w:r w:rsidRPr="00A23768">
      <w:t>T_Z_VTCAj_1/ 2020</w:t>
    </w:r>
  </w:p>
  <w:p w14:paraId="0EDA3925" w14:textId="77777777" w:rsidR="00A23768" w:rsidRDefault="00A2376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DC3DB" w14:textId="77777777" w:rsidR="00B15040" w:rsidRDefault="00B150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BAF2A" w14:textId="77777777" w:rsidR="00FA05E9" w:rsidRDefault="00FA05E9" w:rsidP="00816E73">
      <w:pPr>
        <w:spacing w:after="0" w:line="240" w:lineRule="auto"/>
      </w:pPr>
      <w:r>
        <w:separator/>
      </w:r>
    </w:p>
  </w:footnote>
  <w:footnote w:type="continuationSeparator" w:id="0">
    <w:p w14:paraId="5C8DD7C2" w14:textId="77777777" w:rsidR="00FA05E9" w:rsidRDefault="00FA05E9" w:rsidP="00816E73">
      <w:pPr>
        <w:spacing w:after="0" w:line="240" w:lineRule="auto"/>
      </w:pPr>
      <w:r>
        <w:continuationSeparator/>
      </w:r>
    </w:p>
  </w:footnote>
  <w:footnote w:id="1">
    <w:p w14:paraId="23A299BA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Doplní agentúra /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completed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by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Agency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2FF03C34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Podľa čl. 20 Metodiky na vyhodnocovanie štandardov.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Art. 20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Methodology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Standards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Evaluation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2E42633E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Uvedie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osoby v Registri zamestnancov vysokých škôl: https://www.portalvs.sk/regzam.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person's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entry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Register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University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Staff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: https://www.portalvs.sk/regzam.</w:t>
      </w:r>
    </w:p>
  </w:footnote>
  <w:footnote w:id="4">
    <w:p w14:paraId="43E61EE2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Uvádza sa názov a stupeň študijného programu alebo názov odboru habilitačného konania a inauguračného konania podľa typu konania.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br/>
        <w:t xml:space="preserve">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degree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study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programme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field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habilitation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inaugural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type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6E3BAA60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ID záznamu v registri CREPČ alebo CREUČ.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ID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020422C2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výstupu v CREPČ alebo CREUČ, ktoré sú umiestnené na adrese: https://cms.crepc.sk.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which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are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available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at https://cms.crepc.sk/,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73B625F2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Napríklad katalóg publikačnej činnosti SAV,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example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catalogue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publication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activities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Slovak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Academy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Sciences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(SAS),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8">
    <w:p w14:paraId="2DDA9AF8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 netextových výstupov, ak to z povahy výstupu nie je zrejmé. Uvedie sa anotácia výstupu s kontextovými informáciami týkajúcimi sa opisu tvorivého procesu a obsahu tvorivej činnosti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-text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outputs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obvious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from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with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contextual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information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concerning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description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creative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process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research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artistic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9">
    <w:p w14:paraId="3677F5C9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prípade, ak je výstup uverejnený v inom ako anglickom jazyku. Uvedie sa anotácia výstupu v anglickom jazyku, v ktorej sa stručne charakterizuje povaha, obsah a hlavné výsledky výstupu.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published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language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than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English.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in English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briefly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characterizing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main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results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F8D3" w14:textId="77777777" w:rsidR="00B15040" w:rsidRDefault="00B1504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A435" w14:textId="77777777" w:rsidR="006849EB" w:rsidRDefault="00B15040" w:rsidP="00B15040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78FE7975" wp14:editId="55867E28">
          <wp:simplePos x="0" y="0"/>
          <wp:positionH relativeFrom="margin">
            <wp:posOffset>5033645</wp:posOffset>
          </wp:positionH>
          <wp:positionV relativeFrom="paragraph">
            <wp:posOffset>-181610</wp:posOffset>
          </wp:positionV>
          <wp:extent cx="571500" cy="570230"/>
          <wp:effectExtent l="0" t="0" r="0" b="1270"/>
          <wp:wrapTight wrapText="bothSides">
            <wp:wrapPolygon edited="0">
              <wp:start x="0" y="0"/>
              <wp:lineTo x="0" y="20927"/>
              <wp:lineTo x="20880" y="20927"/>
              <wp:lineTo x="20880" y="0"/>
              <wp:lineTo x="0" y="0"/>
            </wp:wrapPolygon>
          </wp:wrapTight>
          <wp:docPr id="2" name="Obrázok 2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01">
      <w:t>Trnavská univerzita v Trnave, Právnická fakulta</w:t>
    </w:r>
  </w:p>
  <w:p w14:paraId="58634A56" w14:textId="77777777" w:rsidR="006849EB" w:rsidRDefault="006849E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46AC" w14:textId="77777777" w:rsidR="00B15040" w:rsidRDefault="00B1504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CBD"/>
    <w:rsid w:val="000368E1"/>
    <w:rsid w:val="0007243E"/>
    <w:rsid w:val="0008088C"/>
    <w:rsid w:val="00087B3E"/>
    <w:rsid w:val="00102D82"/>
    <w:rsid w:val="00112F47"/>
    <w:rsid w:val="001A42DD"/>
    <w:rsid w:val="001A6549"/>
    <w:rsid w:val="001F26CD"/>
    <w:rsid w:val="001F421A"/>
    <w:rsid w:val="00206092"/>
    <w:rsid w:val="00222794"/>
    <w:rsid w:val="002846C8"/>
    <w:rsid w:val="002A5245"/>
    <w:rsid w:val="00422600"/>
    <w:rsid w:val="004D3FFD"/>
    <w:rsid w:val="004D5CBD"/>
    <w:rsid w:val="004E4845"/>
    <w:rsid w:val="00502F15"/>
    <w:rsid w:val="00525AE5"/>
    <w:rsid w:val="00532FE9"/>
    <w:rsid w:val="00543C52"/>
    <w:rsid w:val="00572798"/>
    <w:rsid w:val="006700C6"/>
    <w:rsid w:val="00675F63"/>
    <w:rsid w:val="006849EB"/>
    <w:rsid w:val="006F6B13"/>
    <w:rsid w:val="007E0BFA"/>
    <w:rsid w:val="00816E73"/>
    <w:rsid w:val="00852CC7"/>
    <w:rsid w:val="008B78D7"/>
    <w:rsid w:val="008E2108"/>
    <w:rsid w:val="008E7E49"/>
    <w:rsid w:val="009331AD"/>
    <w:rsid w:val="00940BAC"/>
    <w:rsid w:val="009547F9"/>
    <w:rsid w:val="00975300"/>
    <w:rsid w:val="009770A6"/>
    <w:rsid w:val="00980601"/>
    <w:rsid w:val="009D7969"/>
    <w:rsid w:val="00A23768"/>
    <w:rsid w:val="00B15040"/>
    <w:rsid w:val="00BA1526"/>
    <w:rsid w:val="00BC3494"/>
    <w:rsid w:val="00C40D4D"/>
    <w:rsid w:val="00C548C4"/>
    <w:rsid w:val="00C86832"/>
    <w:rsid w:val="00D64B7C"/>
    <w:rsid w:val="00D733AB"/>
    <w:rsid w:val="00DF77E6"/>
    <w:rsid w:val="00EC403D"/>
    <w:rsid w:val="00F96882"/>
    <w:rsid w:val="00FA05E9"/>
    <w:rsid w:val="00FE27EC"/>
    <w:rsid w:val="00FF6B5A"/>
    <w:rsid w:val="1A5695DB"/>
    <w:rsid w:val="292B8FC6"/>
    <w:rsid w:val="2F21D586"/>
    <w:rsid w:val="39201257"/>
    <w:rsid w:val="3B042342"/>
    <w:rsid w:val="54167707"/>
    <w:rsid w:val="5BB1B0A9"/>
    <w:rsid w:val="69F3CEE7"/>
    <w:rsid w:val="6AA3C9DB"/>
    <w:rsid w:val="6C3F9A3C"/>
    <w:rsid w:val="6DDB6A9D"/>
    <w:rsid w:val="6F773AFE"/>
    <w:rsid w:val="776FD49A"/>
    <w:rsid w:val="7BA2F34E"/>
    <w:rsid w:val="7C5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C20DE"/>
  <w15:docId w15:val="{862BBE52-D221-6C49-8F5C-791438BD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F6B5A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E73"/>
  </w:style>
  <w:style w:type="paragraph" w:styleId="Pta">
    <w:name w:val="footer"/>
    <w:basedOn w:val="Normlny"/>
    <w:link w:val="Pt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E7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02F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02F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02F15"/>
    <w:rPr>
      <w:vertAlign w:val="superscript"/>
    </w:rPr>
  </w:style>
  <w:style w:type="character" w:styleId="Vrazn">
    <w:name w:val="Strong"/>
    <w:basedOn w:val="Predvolenpsmoodseku"/>
    <w:uiPriority w:val="22"/>
    <w:qFormat/>
    <w:rsid w:val="00FE27EC"/>
    <w:rPr>
      <w:b/>
      <w:bCs/>
    </w:rPr>
  </w:style>
  <w:style w:type="character" w:customStyle="1" w:styleId="normaltextrun">
    <w:name w:val="normaltextrun"/>
    <w:basedOn w:val="Predvolenpsmoodseku"/>
    <w:rsid w:val="00543C52"/>
  </w:style>
  <w:style w:type="character" w:customStyle="1" w:styleId="eop">
    <w:name w:val="eop"/>
    <w:basedOn w:val="Predvolenpsmoodseku"/>
    <w:rsid w:val="00543C52"/>
  </w:style>
  <w:style w:type="character" w:customStyle="1" w:styleId="apple-converted-space">
    <w:name w:val="apple-converted-space"/>
    <w:basedOn w:val="Predvolenpsmoodseku"/>
    <w:rsid w:val="008E7E49"/>
  </w:style>
  <w:style w:type="character" w:customStyle="1" w:styleId="highlight">
    <w:name w:val="highlight"/>
    <w:basedOn w:val="Predvolenpsmoodseku"/>
    <w:rsid w:val="008E7E49"/>
  </w:style>
  <w:style w:type="character" w:customStyle="1" w:styleId="spellingerror">
    <w:name w:val="spellingerror"/>
    <w:basedOn w:val="Predvolenpsmoodseku"/>
    <w:rsid w:val="008E7E49"/>
  </w:style>
  <w:style w:type="character" w:customStyle="1" w:styleId="bcx4">
    <w:name w:val="bcx4"/>
    <w:basedOn w:val="Predvolenpsmoodseku"/>
    <w:rsid w:val="008E7E49"/>
  </w:style>
  <w:style w:type="character" w:customStyle="1" w:styleId="findhit">
    <w:name w:val="findhit"/>
    <w:basedOn w:val="Predvolenpsmoodseku"/>
    <w:rsid w:val="008E7E49"/>
  </w:style>
  <w:style w:type="character" w:styleId="Nevyrieenzmienka">
    <w:name w:val="Unresolved Mention"/>
    <w:basedOn w:val="Predvolenpsmoodseku"/>
    <w:uiPriority w:val="99"/>
    <w:semiHidden/>
    <w:unhideWhenUsed/>
    <w:rsid w:val="002A5245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94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13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1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4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8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7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0" Type="http://schemas.openxmlformats.org/officeDocument/2006/relationships/hyperlink" Target="https://app.crepc.sk/?fn=detailBiblioForm&amp;sid=462AB66412DC69E3ABAFEED274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4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portalvs.sk/regzam/detail/8754?do=filterForm-submit&amp;name=Monika&amp;surname=Jur&#269;ov&#225;&amp;university=713000000&amp;faculty=713050000&amp;sort=surname&amp;employment_state=yes&amp;filter=Vyh&#318;ada&#357;" TargetMode="External"/><Relationship Id="rId23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8" Type="http://schemas.openxmlformats.org/officeDocument/2006/relationships/footer" Target="footer2.xml"/><Relationship Id="rId10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9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37FBFA494A54B9972E5B2EB3B16FC" ma:contentTypeVersion="0" ma:contentTypeDescription="Umožňuje vytvoriť nový dokument." ma:contentTypeScope="" ma:versionID="a07172c59a42fe1c378c81a29cbf87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ffd0f42943e496e21980a7bc59f7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8DACC-4CA2-492D-8A72-C9AC36C011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C423CE-07F8-4FC8-82B9-4CE52EC1D4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AF016F-A2A7-4BDA-871E-143A2D6C66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E7D704-62A4-49C1-A25C-635B8FA60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2609</Words>
  <Characters>14877</Characters>
  <Application>Microsoft Office Word</Application>
  <DocSecurity>0</DocSecurity>
  <Lines>123</Lines>
  <Paragraphs>34</Paragraphs>
  <ScaleCrop>false</ScaleCrop>
  <Company>Trnavska univerzita</Company>
  <LinksUpToDate>false</LinksUpToDate>
  <CharactersWithSpaces>17452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Brestovanská Daniela</cp:lastModifiedBy>
  <cp:revision>5</cp:revision>
  <dcterms:created xsi:type="dcterms:W3CDTF">2022-01-11T12:19:00Z</dcterms:created>
  <dcterms:modified xsi:type="dcterms:W3CDTF">2025-11-04T12:45:00Z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0x01010093037FBFA494A54B9972E5B2EB3B16FC</vt:lpwstr>
  </property>
  <property fmtid="{D5CDD505-2E9C-101B-9397-08002B2CF9AE}" pid="3" name="Order">
    <vt:r8>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