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0"/>
        <w:gridCol w:w="2170"/>
        <w:gridCol w:w="7327"/>
      </w:tblGrid>
      <w:tr w:rsidR="00270829" w14:paraId="39BCE265" w14:textId="77777777">
        <w:trPr>
          <w:trHeight w:val="204"/>
        </w:trPr>
        <w:tc>
          <w:tcPr>
            <w:tcW w:w="0" w:type="auto"/>
            <w:shd w:val="clear" w:color="auto" w:fill="auto"/>
            <w:vAlign w:val="bottom"/>
          </w:tcPr>
          <w:p w14:paraId="5E1B7BF4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6F1941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28B5BE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</w:tcPr>
          <w:p w14:paraId="68D11FC6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0829" w14:paraId="120934CC" w14:textId="77777777">
        <w:trPr>
          <w:trHeight w:val="450"/>
        </w:trPr>
        <w:tc>
          <w:tcPr>
            <w:tcW w:w="0" w:type="auto"/>
            <w:shd w:val="clear" w:color="auto" w:fill="auto"/>
            <w:vAlign w:val="center"/>
          </w:tcPr>
          <w:p w14:paraId="1E461303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0563C1" w:fill="2F5597"/>
            <w:vAlign w:val="center"/>
          </w:tcPr>
          <w:p w14:paraId="01541729" w14:textId="77777777" w:rsidR="00270829" w:rsidRDefault="00164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270829" w14:paraId="6C2DA474" w14:textId="77777777">
        <w:trPr>
          <w:trHeight w:val="450"/>
        </w:trPr>
        <w:tc>
          <w:tcPr>
            <w:tcW w:w="0" w:type="auto"/>
            <w:shd w:val="clear" w:color="auto" w:fill="auto"/>
            <w:vAlign w:val="center"/>
          </w:tcPr>
          <w:p w14:paraId="063B32BB" w14:textId="77777777" w:rsidR="00270829" w:rsidRDefault="00270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2815ECE4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270829" w14:paraId="43AFA924" w14:textId="77777777">
        <w:trPr>
          <w:trHeight w:val="60"/>
        </w:trPr>
        <w:tc>
          <w:tcPr>
            <w:tcW w:w="0" w:type="auto"/>
            <w:shd w:val="clear" w:color="auto" w:fill="auto"/>
            <w:vAlign w:val="bottom"/>
          </w:tcPr>
          <w:p w14:paraId="2E0AF27C" w14:textId="77777777" w:rsidR="00270829" w:rsidRDefault="0027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055656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E1288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</w:tcPr>
          <w:p w14:paraId="44A9DDD2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0829" w14:paraId="2ABEA12A" w14:textId="77777777">
        <w:trPr>
          <w:trHeight w:val="375"/>
        </w:trPr>
        <w:tc>
          <w:tcPr>
            <w:tcW w:w="0" w:type="auto"/>
            <w:shd w:val="clear" w:color="auto" w:fill="auto"/>
            <w:vAlign w:val="bottom"/>
          </w:tcPr>
          <w:p w14:paraId="44F89A7A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</w:tcPr>
          <w:p w14:paraId="104B1057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270829" w14:paraId="42515B6D" w14:textId="77777777">
        <w:trPr>
          <w:trHeight w:val="375"/>
        </w:trPr>
        <w:tc>
          <w:tcPr>
            <w:tcW w:w="0" w:type="auto"/>
            <w:shd w:val="clear" w:color="auto" w:fill="auto"/>
            <w:vAlign w:val="bottom"/>
          </w:tcPr>
          <w:p w14:paraId="6E398DA4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30FBAE10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270829" w14:paraId="77DF0B5A" w14:textId="77777777">
        <w:trPr>
          <w:trHeight w:val="90"/>
        </w:trPr>
        <w:tc>
          <w:tcPr>
            <w:tcW w:w="0" w:type="auto"/>
            <w:shd w:val="clear" w:color="auto" w:fill="auto"/>
            <w:vAlign w:val="bottom"/>
          </w:tcPr>
          <w:p w14:paraId="462D469B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FA7243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FE58E6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</w:tcPr>
          <w:p w14:paraId="2BA519E4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0829" w14:paraId="085D4C08" w14:textId="77777777">
        <w:trPr>
          <w:trHeight w:val="345"/>
        </w:trPr>
        <w:tc>
          <w:tcPr>
            <w:tcW w:w="0" w:type="auto"/>
            <w:shd w:val="clear" w:color="auto" w:fill="auto"/>
            <w:vAlign w:val="bottom"/>
          </w:tcPr>
          <w:p w14:paraId="42C37F7F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FEF218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000000" w:fill="D9E1F2"/>
            <w:vAlign w:val="center"/>
          </w:tcPr>
          <w:p w14:paraId="2F9A5D15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164643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</w:tcPr>
          <w:p w14:paraId="7173F3CF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270829" w14:paraId="34A88880" w14:textId="77777777">
        <w:trPr>
          <w:trHeight w:val="345"/>
        </w:trPr>
        <w:tc>
          <w:tcPr>
            <w:tcW w:w="0" w:type="auto"/>
            <w:shd w:val="clear" w:color="auto" w:fill="auto"/>
            <w:vAlign w:val="bottom"/>
          </w:tcPr>
          <w:p w14:paraId="7E3A7DE2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FC4309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000000" w:fill="D9E1F2"/>
            <w:vAlign w:val="center"/>
          </w:tcPr>
          <w:p w14:paraId="7CA47487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>
              <w:rPr>
                <w:rFonts w:ascii="Calibri" w:eastAsia="Times New Roman" w:hAnsi="Calibri" w:cs="Times New Roman"/>
                <w:lang w:eastAsia="sk-SK"/>
              </w:rPr>
            </w:r>
            <w:r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</w:tcPr>
          <w:p w14:paraId="4C174B17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270829" w14:paraId="033821AA" w14:textId="77777777">
        <w:trPr>
          <w:trHeight w:val="405"/>
        </w:trPr>
        <w:tc>
          <w:tcPr>
            <w:tcW w:w="0" w:type="auto"/>
            <w:shd w:val="clear" w:color="auto" w:fill="auto"/>
            <w:vAlign w:val="bottom"/>
          </w:tcPr>
          <w:p w14:paraId="4089537E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54DD11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1BC47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</w:tcPr>
          <w:p w14:paraId="2E90C73C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0829" w14:paraId="10CD508F" w14:textId="77777777">
        <w:trPr>
          <w:trHeight w:val="510"/>
        </w:trPr>
        <w:tc>
          <w:tcPr>
            <w:tcW w:w="0" w:type="auto"/>
            <w:shd w:val="clear" w:color="auto" w:fill="auto"/>
            <w:vAlign w:val="bottom"/>
          </w:tcPr>
          <w:p w14:paraId="1B703A92" w14:textId="77777777" w:rsidR="00270829" w:rsidRDefault="0027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3B83B547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164643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</w:tcPr>
          <w:p w14:paraId="723FB345" w14:textId="77777777" w:rsidR="00270829" w:rsidRPr="00935AD0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sk-SK"/>
              </w:rPr>
            </w:pPr>
            <w:proofErr w:type="spellStart"/>
            <w:r w:rsidRPr="00935AD0">
              <w:rPr>
                <w:rFonts w:ascii="Calibri" w:eastAsia="Times New Roman" w:hAnsi="Calibri" w:cs="Times New Roman"/>
                <w:lang w:val="en-US" w:eastAsia="sk-SK"/>
              </w:rPr>
              <w:t>Košičiarová</w:t>
            </w:r>
            <w:proofErr w:type="spellEnd"/>
          </w:p>
        </w:tc>
      </w:tr>
      <w:tr w:rsidR="00270829" w14:paraId="1F121395" w14:textId="77777777">
        <w:trPr>
          <w:trHeight w:val="315"/>
        </w:trPr>
        <w:tc>
          <w:tcPr>
            <w:tcW w:w="0" w:type="auto"/>
            <w:shd w:val="clear" w:color="auto" w:fill="auto"/>
            <w:vAlign w:val="bottom"/>
          </w:tcPr>
          <w:p w14:paraId="2F984668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7FD1D00E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164643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</w:tcPr>
          <w:p w14:paraId="2F27A5D8" w14:textId="77777777" w:rsidR="00270829" w:rsidRPr="00935AD0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sk-SK"/>
              </w:rPr>
            </w:pPr>
            <w:proofErr w:type="spellStart"/>
            <w:r w:rsidRPr="00935AD0">
              <w:rPr>
                <w:rFonts w:ascii="Calibri" w:eastAsia="Times New Roman" w:hAnsi="Calibri" w:cs="Times New Roman"/>
                <w:lang w:val="en-US" w:eastAsia="sk-SK"/>
              </w:rPr>
              <w:t>Soňa</w:t>
            </w:r>
            <w:proofErr w:type="spellEnd"/>
          </w:p>
        </w:tc>
      </w:tr>
      <w:tr w:rsidR="00270829" w14:paraId="03F2D830" w14:textId="77777777">
        <w:trPr>
          <w:trHeight w:val="510"/>
        </w:trPr>
        <w:tc>
          <w:tcPr>
            <w:tcW w:w="0" w:type="auto"/>
            <w:shd w:val="clear" w:color="auto" w:fill="auto"/>
            <w:vAlign w:val="bottom"/>
          </w:tcPr>
          <w:p w14:paraId="1385F2E1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14C35A9D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164643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</w:tcPr>
          <w:p w14:paraId="2577E758" w14:textId="77777777" w:rsidR="00270829" w:rsidRPr="00935AD0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935AD0">
              <w:rPr>
                <w:rFonts w:ascii="Calibri" w:eastAsia="Times New Roman" w:hAnsi="Calibri" w:cs="Times New Roman"/>
                <w:lang w:val="en-US" w:eastAsia="sk-SK"/>
              </w:rPr>
              <w:t>prof</w:t>
            </w:r>
            <w:r w:rsidRPr="00935AD0">
              <w:rPr>
                <w:rFonts w:ascii="Calibri" w:eastAsia="Times New Roman" w:hAnsi="Calibri" w:cs="Times New Roman"/>
                <w:lang w:eastAsia="sk-SK"/>
              </w:rPr>
              <w:t>. JUDr., PhD.</w:t>
            </w:r>
          </w:p>
        </w:tc>
      </w:tr>
      <w:tr w:rsidR="00270829" w14:paraId="5C30861F" w14:textId="77777777">
        <w:trPr>
          <w:trHeight w:val="660"/>
        </w:trPr>
        <w:tc>
          <w:tcPr>
            <w:tcW w:w="0" w:type="auto"/>
            <w:shd w:val="clear" w:color="auto" w:fill="auto"/>
            <w:vAlign w:val="bottom"/>
          </w:tcPr>
          <w:p w14:paraId="165C6C47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72B2942A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164643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</w:tcPr>
          <w:p w14:paraId="1F8C15E4" w14:textId="77777777" w:rsidR="00270829" w:rsidRPr="00935AD0" w:rsidRDefault="00164643">
            <w:pPr>
              <w:rPr>
                <w:rFonts w:ascii="Calibri" w:eastAsia="Times New Roman" w:hAnsi="Calibri" w:cs="Times New Roman"/>
                <w:lang w:eastAsia="sk-SK"/>
              </w:rPr>
            </w:pPr>
            <w:r w:rsidRPr="00935AD0">
              <w:rPr>
                <w:rStyle w:val="spellingerror"/>
                <w:rFonts w:ascii="Calibri" w:hAnsi="Calibri"/>
                <w:iCs/>
              </w:rPr>
              <w:t>https://www.portalvs.sk/regzam/detail/8756</w:t>
            </w:r>
          </w:p>
        </w:tc>
      </w:tr>
      <w:tr w:rsidR="00270829" w14:paraId="651CE0B3" w14:textId="77777777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C96393D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3A1EBB2B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164643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</w:tcPr>
          <w:p w14:paraId="23112DF5" w14:textId="1678276F" w:rsidR="00270829" w:rsidRDefault="001D6A44" w:rsidP="001D6A4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3605FB">
              <w:t xml:space="preserve">Študijný program Trestné právo - 3. stupeň / </w:t>
            </w:r>
            <w:r w:rsidRPr="003605FB">
              <w:rPr>
                <w:lang w:val="en"/>
              </w:rPr>
              <w:t>3</w:t>
            </w:r>
            <w:proofErr w:type="spellStart"/>
            <w:r w:rsidRPr="003605FB">
              <w:t>rd</w:t>
            </w:r>
            <w:proofErr w:type="spellEnd"/>
            <w:r w:rsidRPr="003605FB">
              <w:t xml:space="preserve"> </w:t>
            </w:r>
            <w:proofErr w:type="spellStart"/>
            <w:r w:rsidRPr="003605FB">
              <w:t>degree</w:t>
            </w:r>
            <w:proofErr w:type="spellEnd"/>
            <w:r w:rsidRPr="003605FB">
              <w:t xml:space="preserve"> study program - "</w:t>
            </w:r>
            <w:proofErr w:type="spellStart"/>
            <w:r w:rsidRPr="003605FB">
              <w:t>Criminal</w:t>
            </w:r>
            <w:proofErr w:type="spellEnd"/>
            <w:r w:rsidRPr="003605FB">
              <w:t xml:space="preserve"> </w:t>
            </w:r>
            <w:proofErr w:type="spellStart"/>
            <w:r w:rsidRPr="003605FB">
              <w:t>Law</w:t>
            </w:r>
            <w:proofErr w:type="spellEnd"/>
            <w:r w:rsidRPr="003605FB">
              <w:t>"</w:t>
            </w:r>
            <w:r>
              <w:t xml:space="preserve"> / </w:t>
            </w:r>
            <w:r w:rsidR="00A95EE7">
              <w:t>Odbor habilitačného a inauguračného konania:</w:t>
            </w:r>
            <w:r w:rsidR="00164643">
              <w:t xml:space="preserve"> </w:t>
            </w:r>
            <w:r w:rsidR="002A0FE1">
              <w:t>Trestné právo</w:t>
            </w:r>
            <w:r w:rsidR="00164643">
              <w:t xml:space="preserve"> / </w:t>
            </w:r>
            <w:proofErr w:type="spellStart"/>
            <w:r w:rsidR="00A95EE7" w:rsidRPr="00A95EE7">
              <w:t>The</w:t>
            </w:r>
            <w:proofErr w:type="spellEnd"/>
            <w:r w:rsidR="00A95EE7" w:rsidRPr="00A95EE7">
              <w:t xml:space="preserve"> </w:t>
            </w:r>
            <w:proofErr w:type="spellStart"/>
            <w:r w:rsidR="00A95EE7" w:rsidRPr="00A95EE7">
              <w:t>field</w:t>
            </w:r>
            <w:proofErr w:type="spellEnd"/>
            <w:r w:rsidR="00A95EE7" w:rsidRPr="00A95EE7">
              <w:t xml:space="preserve"> of </w:t>
            </w:r>
            <w:proofErr w:type="spellStart"/>
            <w:r w:rsidR="00A95EE7" w:rsidRPr="00A95EE7">
              <w:t>the</w:t>
            </w:r>
            <w:proofErr w:type="spellEnd"/>
            <w:r w:rsidR="00A95EE7" w:rsidRPr="00A95EE7">
              <w:t xml:space="preserve"> </w:t>
            </w:r>
            <w:proofErr w:type="spellStart"/>
            <w:r w:rsidR="00A95EE7" w:rsidRPr="00A95EE7">
              <w:t>habilitation</w:t>
            </w:r>
            <w:proofErr w:type="spellEnd"/>
            <w:r w:rsidR="00A95EE7" w:rsidRPr="00A95EE7">
              <w:t xml:space="preserve"> </w:t>
            </w:r>
            <w:proofErr w:type="spellStart"/>
            <w:r w:rsidR="00A95EE7" w:rsidRPr="00A95EE7">
              <w:t>procedure</w:t>
            </w:r>
            <w:proofErr w:type="spellEnd"/>
            <w:r w:rsidR="00A95EE7" w:rsidRPr="00A95EE7">
              <w:t xml:space="preserve"> and </w:t>
            </w:r>
            <w:proofErr w:type="spellStart"/>
            <w:r w:rsidR="00A95EE7" w:rsidRPr="00A95EE7">
              <w:t>inaugural</w:t>
            </w:r>
            <w:proofErr w:type="spellEnd"/>
            <w:r w:rsidR="00A95EE7" w:rsidRPr="00A95EE7">
              <w:t xml:space="preserve"> </w:t>
            </w:r>
            <w:proofErr w:type="spellStart"/>
            <w:r w:rsidR="00A95EE7" w:rsidRPr="00A95EE7">
              <w:t>procedure</w:t>
            </w:r>
            <w:proofErr w:type="spellEnd"/>
            <w:r w:rsidR="00A95EE7" w:rsidRPr="00A95EE7">
              <w:t xml:space="preserve">: </w:t>
            </w:r>
            <w:r w:rsidR="00164643">
              <w:t>"</w:t>
            </w:r>
            <w:proofErr w:type="spellStart"/>
            <w:r w:rsidR="002A0FE1">
              <w:t>Criminal</w:t>
            </w:r>
            <w:proofErr w:type="spellEnd"/>
            <w:r w:rsidR="002A0FE1">
              <w:t xml:space="preserve"> </w:t>
            </w:r>
            <w:proofErr w:type="spellStart"/>
            <w:r w:rsidR="002A0FE1">
              <w:t>law</w:t>
            </w:r>
            <w:proofErr w:type="spellEnd"/>
            <w:r w:rsidR="00164643">
              <w:t>"</w:t>
            </w:r>
          </w:p>
        </w:tc>
      </w:tr>
      <w:tr w:rsidR="00270829" w14:paraId="0D5E7D07" w14:textId="77777777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1FE524EC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C628CF" w14:textId="77777777" w:rsidR="00270829" w:rsidRDefault="00164643">
            <w:pPr>
              <w:spacing w:after="0" w:line="240" w:lineRule="auto"/>
            </w:pPr>
            <w:r>
              <w:rPr>
                <w:b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31185415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A+</w:t>
            </w:r>
          </w:p>
        </w:tc>
      </w:tr>
      <w:tr w:rsidR="00270829" w14:paraId="15E69AE9" w14:textId="77777777">
        <w:trPr>
          <w:trHeight w:val="660"/>
        </w:trPr>
        <w:tc>
          <w:tcPr>
            <w:tcW w:w="0" w:type="auto"/>
            <w:shd w:val="clear" w:color="auto" w:fill="auto"/>
            <w:vAlign w:val="bottom"/>
          </w:tcPr>
          <w:p w14:paraId="7CEF2F62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7EF9CB7E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options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50009B95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lastRenderedPageBreak/>
              <w:t>vedecký výstup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output,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output,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output,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output,  dokument práv duševného vlastníctva a norma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</w:tcPr>
          <w:p w14:paraId="425D71E1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>
              <w:rPr>
                <w:rFonts w:ascii="Calibri" w:eastAsia="Times New Roman" w:hAnsi="Calibri" w:cs="Times New Roman"/>
                <w:iCs/>
                <w:lang w:eastAsia="sk-SK"/>
              </w:rPr>
              <w:lastRenderedPageBreak/>
              <w:t xml:space="preserve">vedecký výstup / </w:t>
            </w:r>
            <w:proofErr w:type="spellStart"/>
            <w:r>
              <w:rPr>
                <w:rFonts w:ascii="Calibri" w:eastAsia="Times New Roman" w:hAnsi="Calibri" w:cs="Times New Roman"/>
                <w:iCs/>
                <w:lang w:eastAsia="sk-SK"/>
              </w:rPr>
              <w:t>scientific</w:t>
            </w:r>
            <w:proofErr w:type="spellEnd"/>
            <w:r>
              <w:rPr>
                <w:rFonts w:ascii="Calibri" w:eastAsia="Times New Roman" w:hAnsi="Calibri" w:cs="Times New Roman"/>
                <w:iCs/>
                <w:lang w:eastAsia="sk-SK"/>
              </w:rPr>
              <w:t xml:space="preserve"> output</w:t>
            </w:r>
          </w:p>
        </w:tc>
      </w:tr>
      <w:tr w:rsidR="00270829" w14:paraId="03201873" w14:textId="77777777">
        <w:trPr>
          <w:trHeight w:val="510"/>
        </w:trPr>
        <w:tc>
          <w:tcPr>
            <w:tcW w:w="0" w:type="auto"/>
            <w:shd w:val="clear" w:color="auto" w:fill="auto"/>
            <w:vAlign w:val="bottom"/>
          </w:tcPr>
          <w:p w14:paraId="4AD18BC6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FBE5D6" w:fill="DAE3F3"/>
            <w:vAlign w:val="center"/>
          </w:tcPr>
          <w:p w14:paraId="63EC0E6F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</w:tcPr>
          <w:p w14:paraId="71F29A8D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k-SK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sk-SK"/>
              </w:rPr>
              <w:t> </w:t>
            </w:r>
            <w:r w:rsidRPr="00935AD0">
              <w:rPr>
                <w:rFonts w:ascii="Calibri" w:eastAsia="Times New Roman" w:hAnsi="Calibri" w:cs="Times New Roman"/>
                <w:lang w:eastAsia="sk-SK"/>
              </w:rPr>
              <w:t>201</w:t>
            </w:r>
            <w:r w:rsidRPr="00935AD0">
              <w:rPr>
                <w:rFonts w:ascii="Calibri" w:eastAsia="Times New Roman" w:hAnsi="Calibri" w:cs="Times New Roman"/>
                <w:lang w:val="en-US" w:eastAsia="sk-SK"/>
              </w:rPr>
              <w:t>5</w:t>
            </w:r>
          </w:p>
        </w:tc>
      </w:tr>
      <w:tr w:rsidR="00270829" w14:paraId="67444DE1" w14:textId="77777777">
        <w:trPr>
          <w:trHeight w:val="660"/>
        </w:trPr>
        <w:tc>
          <w:tcPr>
            <w:tcW w:w="0" w:type="auto"/>
            <w:shd w:val="clear" w:color="auto" w:fill="auto"/>
            <w:vAlign w:val="bottom"/>
          </w:tcPr>
          <w:p w14:paraId="0156A5C2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7421BCDF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164643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164643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</w:tcPr>
          <w:p w14:paraId="379842B8" w14:textId="77777777" w:rsidR="00270829" w:rsidRPr="004F2BB1" w:rsidRDefault="004F2BB1" w:rsidP="004F2BB1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color w:val="FF0000"/>
                <w:lang w:eastAsia="sk-SK"/>
              </w:rPr>
            </w:pPr>
            <w:r w:rsidRPr="004F2BB1">
              <w:rPr>
                <w:rFonts w:eastAsia="Times New Roman" w:cstheme="minorHAnsi"/>
                <w:bCs/>
                <w:lang w:eastAsia="sk-SK"/>
              </w:rPr>
              <w:t>ID = 493512</w:t>
            </w:r>
            <w:r w:rsidRPr="004F2BB1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164643" w:rsidRPr="004F2BB1">
              <w:rPr>
                <w:rFonts w:eastAsiaTheme="minorEastAsia" w:cstheme="minorHAnsi"/>
                <w:b/>
                <w:bCs/>
              </w:rPr>
              <w:t xml:space="preserve">Register of </w:t>
            </w:r>
            <w:proofErr w:type="spellStart"/>
            <w:r w:rsidR="00164643" w:rsidRPr="004F2BB1">
              <w:rPr>
                <w:rFonts w:eastAsiaTheme="minorEastAsia" w:cstheme="minorHAnsi"/>
                <w:b/>
                <w:bCs/>
              </w:rPr>
              <w:t>financial</w:t>
            </w:r>
            <w:proofErr w:type="spellEnd"/>
            <w:r w:rsidR="00164643" w:rsidRPr="004F2BB1"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 w:rsidR="00164643" w:rsidRPr="004F2BB1">
              <w:rPr>
                <w:rFonts w:eastAsiaTheme="minorEastAsia" w:cstheme="minorHAnsi"/>
                <w:b/>
                <w:bCs/>
              </w:rPr>
              <w:t>statements</w:t>
            </w:r>
            <w:proofErr w:type="spellEnd"/>
            <w:r w:rsidR="00164643" w:rsidRPr="004F2BB1">
              <w:rPr>
                <w:rFonts w:eastAsiaTheme="minorEastAsia" w:cstheme="minorHAnsi"/>
                <w:b/>
                <w:bCs/>
              </w:rPr>
              <w:t xml:space="preserve"> as </w:t>
            </w:r>
            <w:proofErr w:type="spellStart"/>
            <w:r w:rsidR="00164643" w:rsidRPr="004F2BB1">
              <w:rPr>
                <w:rFonts w:eastAsiaTheme="minorEastAsia" w:cstheme="minorHAnsi"/>
                <w:b/>
                <w:bCs/>
              </w:rPr>
              <w:t>instrument</w:t>
            </w:r>
            <w:proofErr w:type="spellEnd"/>
            <w:r w:rsidR="00164643" w:rsidRPr="004F2BB1">
              <w:rPr>
                <w:rFonts w:eastAsiaTheme="minorEastAsia" w:cstheme="minorHAnsi"/>
                <w:b/>
                <w:bCs/>
              </w:rPr>
              <w:t xml:space="preserve"> of </w:t>
            </w:r>
            <w:proofErr w:type="spellStart"/>
            <w:r w:rsidR="00164643" w:rsidRPr="004F2BB1">
              <w:rPr>
                <w:rFonts w:eastAsiaTheme="minorEastAsia" w:cstheme="minorHAnsi"/>
                <w:b/>
                <w:bCs/>
              </w:rPr>
              <w:t>transparency</w:t>
            </w:r>
            <w:proofErr w:type="spellEnd"/>
            <w:r w:rsidR="00164643" w:rsidRPr="004F2BB1">
              <w:rPr>
                <w:rFonts w:eastAsiaTheme="minorEastAsia" w:cstheme="minorHAnsi"/>
                <w:b/>
                <w:bCs/>
              </w:rPr>
              <w:t xml:space="preserve"> in </w:t>
            </w:r>
            <w:proofErr w:type="spellStart"/>
            <w:r w:rsidR="00164643" w:rsidRPr="004F2BB1">
              <w:rPr>
                <w:rFonts w:eastAsiaTheme="minorEastAsia" w:cstheme="minorHAnsi"/>
                <w:b/>
                <w:bCs/>
              </w:rPr>
              <w:t>financial</w:t>
            </w:r>
            <w:proofErr w:type="spellEnd"/>
            <w:r w:rsidR="00164643" w:rsidRPr="004F2BB1"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 w:rsidR="00164643" w:rsidRPr="004F2BB1">
              <w:rPr>
                <w:rFonts w:eastAsiaTheme="minorEastAsia" w:cstheme="minorHAnsi"/>
                <w:b/>
                <w:bCs/>
              </w:rPr>
              <w:t>administration</w:t>
            </w:r>
            <w:proofErr w:type="spellEnd"/>
            <w:r w:rsidR="00164643" w:rsidRPr="004F2BB1">
              <w:rPr>
                <w:rFonts w:eastAsiaTheme="minorEastAsia" w:cstheme="minorHAnsi"/>
              </w:rPr>
              <w:t xml:space="preserve"> / </w:t>
            </w:r>
            <w:proofErr w:type="spellStart"/>
            <w:r w:rsidR="00164643" w:rsidRPr="004F2BB1">
              <w:rPr>
                <w:rFonts w:eastAsiaTheme="minorEastAsia" w:cstheme="minorHAnsi"/>
              </w:rPr>
              <w:t>Kosiciarova</w:t>
            </w:r>
            <w:proofErr w:type="spellEnd"/>
            <w:r w:rsidR="00164643" w:rsidRPr="004F2BB1">
              <w:rPr>
                <w:rFonts w:eastAsiaTheme="minorEastAsia" w:cstheme="minorHAnsi"/>
              </w:rPr>
              <w:t xml:space="preserve">, S.(50%), </w:t>
            </w:r>
            <w:proofErr w:type="spellStart"/>
            <w:r w:rsidR="00164643" w:rsidRPr="004F2BB1">
              <w:rPr>
                <w:rFonts w:eastAsiaTheme="minorEastAsia" w:cstheme="minorHAnsi"/>
              </w:rPr>
              <w:t>Vincurova</w:t>
            </w:r>
            <w:proofErr w:type="spellEnd"/>
            <w:r w:rsidR="00164643" w:rsidRPr="004F2BB1">
              <w:rPr>
                <w:rFonts w:eastAsiaTheme="minorEastAsia" w:cstheme="minorHAnsi"/>
              </w:rPr>
              <w:t>, Z.</w:t>
            </w:r>
            <w:r w:rsidR="00164643" w:rsidRPr="004F2BB1">
              <w:rPr>
                <w:rFonts w:eastAsiaTheme="minorEastAsia" w:cstheme="minorHAnsi"/>
              </w:rPr>
              <w:br/>
              <w:t xml:space="preserve">In: </w:t>
            </w:r>
            <w:hyperlink r:id="rId19" w:history="1">
              <w:proofErr w:type="spellStart"/>
              <w:r w:rsidR="00164643" w:rsidRPr="004F2BB1">
                <w:rPr>
                  <w:rStyle w:val="Hypertextovprepojenie"/>
                  <w:rFonts w:eastAsiaTheme="minorEastAsia" w:cstheme="minorHAnsi"/>
                  <w:color w:val="auto"/>
                  <w:u w:val="none"/>
                </w:rPr>
                <w:t>Economic</w:t>
              </w:r>
              <w:proofErr w:type="spellEnd"/>
              <w:r w:rsidR="00164643" w:rsidRPr="004F2BB1">
                <w:rPr>
                  <w:rStyle w:val="Hypertextovprepojenie"/>
                  <w:rFonts w:eastAsiaTheme="minorEastAsia" w:cstheme="minorHAnsi"/>
                  <w:color w:val="auto"/>
                  <w:u w:val="none"/>
                </w:rPr>
                <w:t xml:space="preserve"> </w:t>
              </w:r>
              <w:proofErr w:type="spellStart"/>
              <w:r w:rsidR="00164643" w:rsidRPr="004F2BB1">
                <w:rPr>
                  <w:rStyle w:val="Hypertextovprepojenie"/>
                  <w:rFonts w:eastAsiaTheme="minorEastAsia" w:cstheme="minorHAnsi"/>
                  <w:color w:val="auto"/>
                  <w:u w:val="none"/>
                </w:rPr>
                <w:t>Annals</w:t>
              </w:r>
              <w:proofErr w:type="spellEnd"/>
              <w:r w:rsidR="00164643" w:rsidRPr="004F2BB1">
                <w:rPr>
                  <w:rStyle w:val="Hypertextovprepojenie"/>
                  <w:rFonts w:eastAsiaTheme="minorEastAsia" w:cstheme="minorHAnsi"/>
                  <w:color w:val="auto"/>
                  <w:u w:val="none"/>
                </w:rPr>
                <w:t>-XXI</w:t>
              </w:r>
            </w:hyperlink>
            <w:r w:rsidR="00164643" w:rsidRPr="004F2BB1">
              <w:rPr>
                <w:rFonts w:eastAsiaTheme="minorEastAsia" w:cstheme="minorHAnsi"/>
              </w:rPr>
              <w:t xml:space="preserve">. - ISSN 1728-6220. - No 155 (11-12), (2015), </w:t>
            </w:r>
            <w:proofErr w:type="spellStart"/>
            <w:r w:rsidR="00164643" w:rsidRPr="004F2BB1">
              <w:rPr>
                <w:rFonts w:eastAsiaTheme="minorEastAsia" w:cstheme="minorHAnsi"/>
              </w:rPr>
              <w:t>pp</w:t>
            </w:r>
            <w:proofErr w:type="spellEnd"/>
            <w:r w:rsidR="00164643" w:rsidRPr="004F2BB1">
              <w:rPr>
                <w:rFonts w:eastAsiaTheme="minorEastAsia" w:cstheme="minorHAnsi"/>
              </w:rPr>
              <w:t>. 117-120. - SCOPUS.</w:t>
            </w:r>
            <w:r w:rsidR="00164643" w:rsidRPr="004F2BB1">
              <w:rPr>
                <w:rFonts w:eastAsiaTheme="minorEastAsia" w:cstheme="minorHAnsi"/>
              </w:rPr>
              <w:br/>
            </w:r>
          </w:p>
        </w:tc>
      </w:tr>
      <w:tr w:rsidR="00270829" w14:paraId="50D106FC" w14:textId="77777777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426CA40E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5CDE7577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164643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</w:tcPr>
          <w:p w14:paraId="77E6156E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21" w:tgtFrame="_blank" w:history="1">
              <w:r w:rsidR="00935AD0" w:rsidRPr="004F2BB1">
                <w:rPr>
                  <w:rStyle w:val="Hypertextovprepojenie"/>
                  <w:rFonts w:ascii="Helvetica" w:hAnsi="Helvetica" w:cs="Helvetica"/>
                  <w:color w:val="2F1713"/>
                  <w:sz w:val="20"/>
                  <w:szCs w:val="20"/>
                  <w:shd w:val="clear" w:color="auto" w:fill="F5F5F5"/>
                </w:rPr>
                <w:t>https://app.crepc.sk/?fn=detailBiblioForm&amp;sid=07CD9196D75C0557E920C3F2A0</w:t>
              </w:r>
            </w:hyperlink>
          </w:p>
        </w:tc>
      </w:tr>
      <w:tr w:rsidR="00270829" w14:paraId="41620EB5" w14:textId="77777777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7E05CC48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3F7AE516" w14:textId="77777777" w:rsidR="00270829" w:rsidRDefault="0027082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8B34B71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70829" w14:paraId="46A3CA6B" w14:textId="77777777">
        <w:trPr>
          <w:trHeight w:val="1065"/>
        </w:trPr>
        <w:tc>
          <w:tcPr>
            <w:tcW w:w="0" w:type="auto"/>
            <w:shd w:val="clear" w:color="auto" w:fill="auto"/>
            <w:vAlign w:val="bottom"/>
          </w:tcPr>
          <w:p w14:paraId="69DB1BBB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FBE5D6" w:fill="DAE3F3"/>
            <w:textDirection w:val="btLr"/>
            <w:vAlign w:val="center"/>
          </w:tcPr>
          <w:p w14:paraId="15C3B6F1" w14:textId="77777777" w:rsidR="00270829" w:rsidRDefault="00164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000000" w:fill="D9E1F2"/>
            <w:vAlign w:val="center"/>
          </w:tcPr>
          <w:p w14:paraId="104E0582" w14:textId="77777777" w:rsidR="00270829" w:rsidRPr="00935AD0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164643" w:rsidRPr="00935AD0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164643" w:rsidRPr="00935AD0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</w:tcPr>
          <w:p w14:paraId="603A7B91" w14:textId="77777777" w:rsidR="00270829" w:rsidRDefault="00C622D0">
            <w:pPr>
              <w:spacing w:after="0" w:line="240" w:lineRule="auto"/>
              <w:rPr>
                <w:rFonts w:ascii="Calibri" w:eastAsia="Times New Roman" w:hAnsi="Calibri"/>
                <w:lang w:eastAsia="sk-SK"/>
              </w:rPr>
            </w:pPr>
            <w:r w:rsidRPr="006E52AC">
              <w:rPr>
                <w:rFonts w:ascii="Calibri" w:eastAsia="Times New Roman" w:hAnsi="Calibri"/>
                <w:lang w:eastAsia="sk-SK"/>
              </w:rPr>
              <w:t>https://www.ceeol.com/search/journal-detail?id=398</w:t>
            </w:r>
          </w:p>
          <w:p w14:paraId="3EA35B91" w14:textId="77777777" w:rsidR="00C622D0" w:rsidRDefault="00C622D0">
            <w:pPr>
              <w:spacing w:after="0" w:line="240" w:lineRule="auto"/>
              <w:rPr>
                <w:rStyle w:val="Hypertextovprepojenie"/>
                <w:rFonts w:eastAsiaTheme="minorEastAsia" w:cstheme="minorHAnsi"/>
                <w:color w:val="auto"/>
                <w:u w:val="none"/>
              </w:rPr>
            </w:pPr>
            <w:r w:rsidRPr="004F2BB1">
              <w:rPr>
                <w:rFonts w:eastAsiaTheme="minorEastAsia" w:cstheme="minorHAnsi"/>
              </w:rPr>
              <w:t xml:space="preserve">Spôsob prístupu: </w:t>
            </w:r>
            <w:hyperlink r:id="rId23" w:tooltip="http://ukftp.truni.sk/epc/12850.pdf" w:history="1">
              <w:r w:rsidRPr="004F2BB1">
                <w:rPr>
                  <w:rStyle w:val="Hypertextovprepojenie"/>
                  <w:rFonts w:eastAsiaTheme="minorEastAsia" w:cstheme="minorHAnsi"/>
                  <w:color w:val="auto"/>
                  <w:u w:val="none"/>
                </w:rPr>
                <w:t>http://ukftp.truni.sk/epc/12850.pdf</w:t>
              </w:r>
            </w:hyperlink>
          </w:p>
          <w:p w14:paraId="1BFCA71D" w14:textId="77777777" w:rsidR="00497886" w:rsidRPr="00935AD0" w:rsidRDefault="00497886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sk-SK"/>
              </w:rPr>
            </w:pPr>
            <w:r w:rsidRPr="00497886">
              <w:rPr>
                <w:rFonts w:ascii="Calibri" w:eastAsia="Times New Roman" w:hAnsi="Calibri" w:cs="Times New Roman"/>
                <w:lang w:val="en-US" w:eastAsia="sk-SK"/>
              </w:rPr>
              <w:t>http://ea21journal.world/index.php/155_11-12_2015/</w:t>
            </w:r>
          </w:p>
        </w:tc>
      </w:tr>
      <w:tr w:rsidR="00270829" w14:paraId="63D247B3" w14:textId="77777777">
        <w:trPr>
          <w:trHeight w:val="1515"/>
        </w:trPr>
        <w:tc>
          <w:tcPr>
            <w:tcW w:w="0" w:type="auto"/>
            <w:shd w:val="clear" w:color="auto" w:fill="auto"/>
            <w:vAlign w:val="bottom"/>
          </w:tcPr>
          <w:p w14:paraId="14993E45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</w:tcPr>
          <w:p w14:paraId="55F696E9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FBE5D6" w:fill="DAE3F3"/>
            <w:vAlign w:val="center"/>
          </w:tcPr>
          <w:p w14:paraId="70084B2C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výstupov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38D1B8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x</w:t>
            </w:r>
          </w:p>
        </w:tc>
      </w:tr>
      <w:tr w:rsidR="00270829" w14:paraId="4508C678" w14:textId="77777777">
        <w:trPr>
          <w:trHeight w:val="1290"/>
        </w:trPr>
        <w:tc>
          <w:tcPr>
            <w:tcW w:w="0" w:type="auto"/>
            <w:shd w:val="clear" w:color="auto" w:fill="auto"/>
            <w:vAlign w:val="bottom"/>
          </w:tcPr>
          <w:p w14:paraId="15157F4A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</w:tcPr>
          <w:p w14:paraId="74C0E484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000000" w:fill="D9E1F2"/>
            <w:vAlign w:val="center"/>
          </w:tcPr>
          <w:p w14:paraId="270B835B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4" w:anchor="Expl.OCA12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</w:tcPr>
          <w:p w14:paraId="7FBB0702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270829" w14:paraId="7BA12187" w14:textId="77777777">
        <w:trPr>
          <w:trHeight w:val="1110"/>
        </w:trPr>
        <w:tc>
          <w:tcPr>
            <w:tcW w:w="0" w:type="auto"/>
            <w:shd w:val="clear" w:color="auto" w:fill="auto"/>
            <w:vAlign w:val="bottom"/>
          </w:tcPr>
          <w:p w14:paraId="7CB2D56A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</w:tcPr>
          <w:p w14:paraId="73B22BF4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FBE5D6" w:fill="DAE3F3"/>
            <w:vAlign w:val="center"/>
          </w:tcPr>
          <w:p w14:paraId="154D37F0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</w:tcPr>
          <w:p w14:paraId="4E67B53F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35AD0">
              <w:rPr>
                <w:rFonts w:ascii="Calibri" w:eastAsia="Times New Roman" w:hAnsi="Calibri"/>
                <w:lang w:eastAsia="sk-SK"/>
              </w:rPr>
              <w:t>https://www.ceeol.com/search/article-detail?id=305901</w:t>
            </w:r>
          </w:p>
        </w:tc>
      </w:tr>
      <w:tr w:rsidR="00270829" w14:paraId="064D3012" w14:textId="77777777">
        <w:trPr>
          <w:trHeight w:val="765"/>
        </w:trPr>
        <w:tc>
          <w:tcPr>
            <w:tcW w:w="0" w:type="auto"/>
            <w:shd w:val="clear" w:color="auto" w:fill="auto"/>
            <w:vAlign w:val="bottom"/>
          </w:tcPr>
          <w:p w14:paraId="6F902A9B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</w:tcPr>
          <w:p w14:paraId="08BF722D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FBE5D6" w:fill="DAE3F3"/>
            <w:vAlign w:val="center"/>
          </w:tcPr>
          <w:p w14:paraId="338BD12F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E4D1B1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35AD0">
              <w:rPr>
                <w:rFonts w:ascii="Calibri" w:eastAsia="Times New Roman" w:hAnsi="Calibri" w:cs="Times New Roman"/>
                <w:lang w:eastAsia="sk-SK"/>
              </w:rPr>
              <w:t xml:space="preserve">Spoluautor / </w:t>
            </w:r>
            <w:proofErr w:type="spellStart"/>
            <w:r w:rsidRPr="00935AD0">
              <w:rPr>
                <w:rFonts w:ascii="Calibri" w:eastAsia="Times New Roman" w:hAnsi="Calibri" w:cs="Times New Roman"/>
                <w:lang w:eastAsia="sk-SK"/>
              </w:rPr>
              <w:t>Co-author</w:t>
            </w:r>
            <w:proofErr w:type="spellEnd"/>
          </w:p>
        </w:tc>
      </w:tr>
      <w:tr w:rsidR="00935AD0" w:rsidRPr="00935AD0" w14:paraId="5E765E81" w14:textId="77777777">
        <w:trPr>
          <w:trHeight w:val="2310"/>
        </w:trPr>
        <w:tc>
          <w:tcPr>
            <w:tcW w:w="0" w:type="auto"/>
            <w:shd w:val="clear" w:color="auto" w:fill="auto"/>
            <w:vAlign w:val="bottom"/>
          </w:tcPr>
          <w:p w14:paraId="5A39E1ED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</w:tcPr>
          <w:p w14:paraId="799D348F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000000" w:fill="D9E1F2"/>
            <w:vAlign w:val="center"/>
          </w:tcPr>
          <w:p w14:paraId="1EF64EA2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5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othe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164643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</w:tcPr>
          <w:p w14:paraId="4F0D67A2" w14:textId="77777777" w:rsidR="00270829" w:rsidRPr="00935AD0" w:rsidRDefault="00164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sk-SK"/>
              </w:rPr>
            </w:pPr>
            <w:r w:rsidRPr="00935AD0">
              <w:rPr>
                <w:rFonts w:ascii="Calibri" w:eastAsia="SimSun" w:hAnsi="Calibri" w:cs="Calibri"/>
                <w:lang w:val="sk"/>
              </w:rPr>
              <w:lastRenderedPageBreak/>
              <w:t>Register účtovných závierok, zriadený na Slovensku zákonom o účtovníctve v roku 2011, je informačný systém verejnej správy, do ktorého účtovné jednotky ukladajú účtovné závierky, audítorské správy a výročné správy. Register predstavuje investíciu, ktorá zjednodušuje podnikanie v Slovenskej republike a poskytuje verejnosti prístup k informáciám online. Register slúži ako nástroj na makroekonomickú analýzu a prognózovanie, ako aj na odhaľovanie daňových únikov. Cieľom autorov je analyzovať právne a finančné dopady tvorby registra účtovných závierok a zhodnotiť pozitívne a negatívne dopady jeho zavedenia na podnikateľov.</w:t>
            </w:r>
          </w:p>
          <w:p w14:paraId="504D94D5" w14:textId="77777777" w:rsidR="00270829" w:rsidRPr="00935AD0" w:rsidRDefault="00270829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14:paraId="4B538732" w14:textId="77777777" w:rsidR="00270829" w:rsidRPr="00935AD0" w:rsidRDefault="00164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val="en-GB" w:eastAsia="sk-SK"/>
              </w:rPr>
            </w:pP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Register of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Financial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Statements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,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established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in Slovakia by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Act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on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Accounting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in 2011,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public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administration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information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system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within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which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accounting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entities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file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financial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statements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, audit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reports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and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annual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reports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.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Register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represents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investment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which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simplifies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business in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Slovak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Republic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and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provides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public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with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access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to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information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online.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Register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serves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as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instrument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for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macroeconomic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analysis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and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forecasting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, as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well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as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for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detecting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tax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evasion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.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authors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’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objective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to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analyse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legal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Pr="00935AD0">
              <w:rPr>
                <w:rFonts w:ascii="Calibri" w:eastAsiaTheme="minorEastAsia" w:hAnsi="Calibri" w:cs="Calibri"/>
                <w:i/>
                <w:iCs/>
              </w:rPr>
              <w:lastRenderedPageBreak/>
              <w:t xml:space="preserve">and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financial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effects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of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Register of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Financial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Statements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creation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and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evaluate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the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positive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and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negative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effects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of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its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introduction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 xml:space="preserve"> on </w:t>
            </w:r>
            <w:proofErr w:type="spellStart"/>
            <w:r w:rsidRPr="00935AD0">
              <w:rPr>
                <w:rFonts w:ascii="Calibri" w:eastAsiaTheme="minorEastAsia" w:hAnsi="Calibri" w:cs="Calibri"/>
                <w:i/>
                <w:iCs/>
              </w:rPr>
              <w:t>entrepreneurs</w:t>
            </w:r>
            <w:proofErr w:type="spellEnd"/>
            <w:r w:rsidRPr="00935AD0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</w:tr>
      <w:tr w:rsidR="00935AD0" w:rsidRPr="00935AD0" w14:paraId="43A9F44E" w14:textId="77777777">
        <w:trPr>
          <w:trHeight w:val="915"/>
        </w:trPr>
        <w:tc>
          <w:tcPr>
            <w:tcW w:w="0" w:type="auto"/>
            <w:shd w:val="clear" w:color="auto" w:fill="auto"/>
            <w:vAlign w:val="bottom"/>
          </w:tcPr>
          <w:p w14:paraId="7E1476CB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000000" w:fill="D9E1F2"/>
            <w:vAlign w:val="center"/>
          </w:tcPr>
          <w:p w14:paraId="721E3437" w14:textId="77777777" w:rsidR="00270829" w:rsidRDefault="001D6A44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6" w:anchor="'poznamky_explanatory notes'!A1" w:history="1"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164643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64643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64643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164643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164643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164643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</w:tcPr>
          <w:p w14:paraId="4BC0EF52" w14:textId="77777777" w:rsidR="00270829" w:rsidRPr="00935AD0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sk-SK"/>
              </w:rPr>
            </w:pPr>
            <w:r w:rsidRPr="00935AD0">
              <w:rPr>
                <w:rFonts w:ascii="Calibri" w:eastAsia="Times New Roman" w:hAnsi="Calibri" w:cs="Times New Roman"/>
                <w:lang w:val="en-US" w:eastAsia="sk-SK"/>
              </w:rPr>
              <w:t>x</w:t>
            </w:r>
          </w:p>
        </w:tc>
      </w:tr>
      <w:tr w:rsidR="00935AD0" w:rsidRPr="00935AD0" w14:paraId="10DF69F5" w14:textId="77777777">
        <w:trPr>
          <w:trHeight w:val="810"/>
        </w:trPr>
        <w:tc>
          <w:tcPr>
            <w:tcW w:w="0" w:type="auto"/>
            <w:shd w:val="clear" w:color="auto" w:fill="auto"/>
            <w:vAlign w:val="bottom"/>
          </w:tcPr>
          <w:p w14:paraId="6A0E342B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FBE5D6" w:fill="DAE3F3"/>
            <w:vAlign w:val="center"/>
          </w:tcPr>
          <w:p w14:paraId="3DF43BAD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DA21E75" w14:textId="77777777" w:rsidR="00270829" w:rsidRPr="00935AD0" w:rsidRDefault="0016464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935AD0">
              <w:rPr>
                <w:rFonts w:ascii="Calibri" w:eastAsia="Times New Roman" w:hAnsi="Calibri"/>
                <w:lang w:val="en-US" w:eastAsia="sk-SK"/>
              </w:rPr>
              <w:t>x</w:t>
            </w:r>
          </w:p>
          <w:p w14:paraId="2F775AB4" w14:textId="77777777" w:rsidR="00270829" w:rsidRPr="00935AD0" w:rsidRDefault="0027082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35AD0" w:rsidRPr="00935AD0" w14:paraId="7573981E" w14:textId="77777777">
        <w:trPr>
          <w:trHeight w:val="1170"/>
        </w:trPr>
        <w:tc>
          <w:tcPr>
            <w:tcW w:w="0" w:type="auto"/>
            <w:shd w:val="clear" w:color="auto" w:fill="auto"/>
            <w:vAlign w:val="bottom"/>
          </w:tcPr>
          <w:p w14:paraId="65F0A92E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FBE5D6" w:fill="DAE3F3"/>
            <w:vAlign w:val="center"/>
          </w:tcPr>
          <w:p w14:paraId="5C9726FF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</w:tcPr>
          <w:p w14:paraId="2DBFE3F2" w14:textId="77777777" w:rsidR="00270829" w:rsidRPr="00935AD0" w:rsidRDefault="00164643">
            <w:pPr>
              <w:spacing w:after="0"/>
              <w:jc w:val="both"/>
              <w:rPr>
                <w:rFonts w:ascii="Calibri" w:eastAsia="SimSun" w:hAnsi="Calibri" w:cs="Calibri"/>
                <w:lang w:val="sk"/>
              </w:rPr>
            </w:pPr>
            <w:r w:rsidRPr="00935AD0">
              <w:rPr>
                <w:rFonts w:ascii="Calibri" w:eastAsia="SimSun" w:hAnsi="Calibri" w:cs="Calibri"/>
                <w:lang w:val="sk"/>
              </w:rPr>
              <w:t xml:space="preserve">Slovenská republika zaznamenala v rokoch 2007 a 2008 zníženie umiestnenia v </w:t>
            </w:r>
            <w:proofErr w:type="spellStart"/>
            <w:r w:rsidRPr="00935AD0">
              <w:rPr>
                <w:rFonts w:ascii="Calibri" w:eastAsia="SimSun" w:hAnsi="Calibri" w:cs="Calibri"/>
                <w:lang w:val="sk"/>
              </w:rPr>
              <w:t>superindexe</w:t>
            </w:r>
            <w:proofErr w:type="spellEnd"/>
            <w:r w:rsidRPr="00935AD0">
              <w:rPr>
                <w:rFonts w:ascii="Calibri" w:eastAsia="SimSun" w:hAnsi="Calibri" w:cs="Calibri"/>
                <w:lang w:val="sk"/>
              </w:rPr>
              <w:t xml:space="preserve"> za podnikateľské prostredie. Jednou z príčin nepriaznivého hodnotenia bola vysoká administratívna záťaž podnikateľského prostredia. Zákon č.431/2002 </w:t>
            </w:r>
            <w:proofErr w:type="spellStart"/>
            <w:r w:rsidRPr="00935AD0">
              <w:rPr>
                <w:rFonts w:ascii="Calibri" w:eastAsia="SimSun" w:hAnsi="Calibri" w:cs="Calibri"/>
                <w:lang w:val="sk"/>
              </w:rPr>
              <w:t>Z.z</w:t>
            </w:r>
            <w:proofErr w:type="spellEnd"/>
            <w:r w:rsidRPr="00935AD0">
              <w:rPr>
                <w:rFonts w:ascii="Calibri" w:eastAsia="SimSun" w:hAnsi="Calibri" w:cs="Calibri"/>
                <w:lang w:val="sk"/>
              </w:rPr>
              <w:t>. bol medzi štyridsiatimi ôsmimi zákonmi hodnotenými v rámci merania administratívnej záťaže a administratívnych nákladov. Vysoký podiel nákladov podnikateľov súvisel s ich zákonnou povinnosťou plniť rôzne informačné požiadavky a predkladať doklady rôznym orgánom štátnej správy. Z tohto dôvodu sa uvažovalo o zavedení spôsobu, akým by si mohli svoje povinnosti plniť elektronicky. Hľadanie relevantných vecných prostriedkov a vytvorenie právneho prostredia na ich uplatnenie podporila požiadavka Európskej únie na zníženie administratívnej záťaže podnikateľov v členských štátoch. Podľa Európskej únie predstavuje účtovníctvo hlavnú oblasť, v ktorej je možné znížiť administratívnu záťaž s cieľom posilniť európsku ekonomiku, preto je táto problematika najvyššou prioritou vedeckého výskumu a výmeny skúseností medzi členskými štátmi.</w:t>
            </w:r>
          </w:p>
          <w:p w14:paraId="3598968D" w14:textId="77777777" w:rsidR="00270829" w:rsidRPr="00935AD0" w:rsidRDefault="00270829">
            <w:pPr>
              <w:spacing w:after="0"/>
              <w:jc w:val="both"/>
              <w:rPr>
                <w:rFonts w:ascii="SimSun" w:eastAsia="SimSun" w:hAnsi="SimSun" w:cs="SimSun"/>
                <w:sz w:val="24"/>
                <w:szCs w:val="24"/>
                <w:lang w:val="sk"/>
              </w:rPr>
            </w:pPr>
          </w:p>
          <w:p w14:paraId="39D47EAF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/>
                <w:i/>
                <w:iCs/>
                <w:lang w:eastAsia="sk-SK"/>
              </w:rPr>
            </w:pP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Slovak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Republic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recorded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reduction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its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ranking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within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super index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with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regard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business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environment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in 2007 and 2008.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high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administrative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burden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business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environment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was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one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reasons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for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lastRenderedPageBreak/>
              <w:t>its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unfavourable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ranking.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Act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No. 431/2002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Coll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was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among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forty-eight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Acts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assessed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as part of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measurement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administrative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burden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administrative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costs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. </w:t>
            </w:r>
          </w:p>
          <w:p w14:paraId="280CC2C9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/>
                <w:i/>
                <w:iCs/>
                <w:lang w:eastAsia="sk-SK"/>
              </w:rPr>
            </w:pP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high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share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costs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borne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by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entrepreneurs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was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related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their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statutory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obligation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meet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various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information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requirements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and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submit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documents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a variety of state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administration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bodies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For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this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reason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,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consideration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was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given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introduction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a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way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which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their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obligations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could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met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electronically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.</w:t>
            </w:r>
          </w:p>
          <w:p w14:paraId="0C99703D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search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for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relevant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material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means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creation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a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legal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environment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for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their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application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were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supported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by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Union’s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requirement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reduce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administrative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burden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on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entrepreneurs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Member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States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According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Union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,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accounting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represents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 major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area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where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administrative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burden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can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reduced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order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enhance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economy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,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hence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this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issue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is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top priority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for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scientific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research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exchange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experience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between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Member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States</w:t>
            </w:r>
            <w:proofErr w:type="spellEnd"/>
            <w:r w:rsidRPr="00935AD0">
              <w:rPr>
                <w:rFonts w:ascii="Calibri" w:eastAsia="Times New Roman" w:hAnsi="Calibri"/>
                <w:i/>
                <w:iCs/>
                <w:lang w:eastAsia="sk-SK"/>
              </w:rPr>
              <w:t>.</w:t>
            </w:r>
          </w:p>
        </w:tc>
      </w:tr>
      <w:tr w:rsidR="00935AD0" w:rsidRPr="00935AD0" w14:paraId="6673B97E" w14:textId="77777777" w:rsidTr="00935AD0">
        <w:trPr>
          <w:trHeight w:val="831"/>
        </w:trPr>
        <w:tc>
          <w:tcPr>
            <w:tcW w:w="0" w:type="auto"/>
            <w:shd w:val="clear" w:color="auto" w:fill="auto"/>
            <w:vAlign w:val="bottom"/>
          </w:tcPr>
          <w:p w14:paraId="6E9FAD6F" w14:textId="77777777" w:rsidR="00270829" w:rsidRDefault="00270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FBE5D6" w:fill="DAE3F3"/>
            <w:vAlign w:val="center"/>
          </w:tcPr>
          <w:p w14:paraId="7ECD62F2" w14:textId="77777777" w:rsidR="00270829" w:rsidRDefault="001646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</w:tcPr>
          <w:p w14:paraId="2859E636" w14:textId="77777777" w:rsidR="00270829" w:rsidRPr="00935AD0" w:rsidRDefault="00164643">
            <w:pPr>
              <w:pStyle w:val="Normlnywebov"/>
              <w:spacing w:after="0" w:line="2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5AD0"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  <w:t xml:space="preserve">Vedecký výstup je v širšom koncepte zasadený do rámca </w:t>
            </w:r>
            <w:proofErr w:type="spellStart"/>
            <w:r w:rsidRPr="00935AD0">
              <w:rPr>
                <w:rFonts w:ascii="Calibri" w:eastAsia="Times New Roman" w:hAnsi="Calibri" w:cs="Calibri"/>
                <w:sz w:val="22"/>
                <w:szCs w:val="22"/>
                <w:lang w:val="en-US" w:eastAsia="sk-SK"/>
              </w:rPr>
              <w:t>problematiky</w:t>
            </w:r>
            <w:proofErr w:type="spellEnd"/>
            <w:r w:rsidRPr="00935AD0">
              <w:rPr>
                <w:rFonts w:ascii="Calibri" w:eastAsia="Times New Roman" w:hAnsi="Calibri" w:cs="Calibri"/>
                <w:sz w:val="22"/>
                <w:szCs w:val="22"/>
                <w:lang w:val="en-US" w:eastAsia="sk-SK"/>
              </w:rPr>
              <w:t xml:space="preserve"> </w:t>
            </w:r>
            <w:r w:rsidRPr="00935AD0">
              <w:rPr>
                <w:rFonts w:ascii="Calibri" w:hAnsi="Calibri" w:cs="Calibri"/>
                <w:sz w:val="22"/>
                <w:szCs w:val="22"/>
              </w:rPr>
              <w:t>modernizácie verejnej správy na Slovensku, ktorý vyjadruje e-</w:t>
            </w:r>
            <w:proofErr w:type="spellStart"/>
            <w:r w:rsidRPr="00935AD0">
              <w:rPr>
                <w:rFonts w:ascii="Calibri" w:hAnsi="Calibri" w:cs="Calibri"/>
                <w:sz w:val="22"/>
                <w:szCs w:val="22"/>
              </w:rPr>
              <w:t>Government</w:t>
            </w:r>
            <w:proofErr w:type="spellEnd"/>
            <w:r w:rsidRPr="00935AD0">
              <w:rPr>
                <w:rFonts w:ascii="Calibri" w:hAnsi="Calibri" w:cs="Calibri"/>
                <w:sz w:val="22"/>
                <w:szCs w:val="22"/>
              </w:rPr>
              <w:t xml:space="preserve">. Predstavuje súhrn opatrení právnej a mimoprávnej povahy na zabezpečenie využitia informačno-komunikačných technológií vo verejnej správe. Uvedené aktivity majú za cieľ zabezpečiť a podporiť poskytovanie služieb verejnosti zapojením nových technológií. Sú motivované snahou Európskej únie </w:t>
            </w:r>
            <w:r w:rsidRPr="00935AD0">
              <w:rPr>
                <w:rFonts w:ascii="Calibri" w:hAnsi="Calibri" w:cs="Calibri"/>
                <w:bCs/>
                <w:sz w:val="22"/>
                <w:szCs w:val="22"/>
              </w:rPr>
              <w:t>podporiť prístup občanov Európskej únie na vnútorný trh Európskej únie</w:t>
            </w:r>
            <w:r w:rsidRPr="00935AD0">
              <w:rPr>
                <w:rFonts w:ascii="Calibri" w:hAnsi="Calibri" w:cs="Calibri"/>
                <w:sz w:val="22"/>
                <w:szCs w:val="22"/>
              </w:rPr>
              <w:t xml:space="preserve">. Predmet výskumu úzko súvisí s úsilím Európskej únie odstrániť prekážky obchodu so službami v EÚ, a to: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6969"/>
            </w:tblGrid>
            <w:tr w:rsidR="00935AD0" w:rsidRPr="00935AD0" w14:paraId="22A841FA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14:paraId="1BE168AE" w14:textId="77777777" w:rsidR="00270829" w:rsidRPr="00935AD0" w:rsidRDefault="00164643">
                  <w:pPr>
                    <w:pStyle w:val="Normlnywebov"/>
                    <w:spacing w:after="0" w:line="2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35AD0">
                    <w:rPr>
                      <w:rFonts w:ascii="Calibri" w:hAnsi="Calibri" w:cs="Calibri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179A47E" w14:textId="77777777" w:rsidR="00270829" w:rsidRPr="00935AD0" w:rsidRDefault="00164643">
                  <w:pPr>
                    <w:spacing w:line="20" w:lineRule="atLeast"/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zjednodušením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administratívnych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postupov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pre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poskytovateľov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služieb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; </w:t>
                  </w:r>
                </w:p>
              </w:tc>
            </w:tr>
          </w:tbl>
          <w:p w14:paraId="2BF7E33F" w14:textId="77777777" w:rsidR="00270829" w:rsidRPr="00935AD0" w:rsidRDefault="00270829">
            <w:pPr>
              <w:spacing w:line="20" w:lineRule="atLeast"/>
              <w:jc w:val="both"/>
              <w:rPr>
                <w:rFonts w:ascii="Calibri" w:hAnsi="Calibri" w:cs="Calibri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"/>
              <w:gridCol w:w="6954"/>
            </w:tblGrid>
            <w:tr w:rsidR="00935AD0" w:rsidRPr="00935AD0" w14:paraId="678C5BB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14:paraId="5FD5B00B" w14:textId="77777777" w:rsidR="00270829" w:rsidRPr="00935AD0" w:rsidRDefault="00164643">
                  <w:pPr>
                    <w:pStyle w:val="Normlnywebov"/>
                    <w:spacing w:after="0" w:line="2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35AD0">
                    <w:rPr>
                      <w:rFonts w:ascii="Calibri" w:hAnsi="Calibri" w:cs="Calibri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3CF6CC4" w14:textId="77777777" w:rsidR="00270829" w:rsidRPr="00935AD0" w:rsidRDefault="00164643">
                  <w:pPr>
                    <w:spacing w:line="20" w:lineRule="atLeast"/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posilnením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práv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spotrebiteľov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a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podnikov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,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ktoré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služby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prijímajú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; a </w:t>
                  </w:r>
                </w:p>
              </w:tc>
            </w:tr>
          </w:tbl>
          <w:p w14:paraId="0EA76462" w14:textId="77777777" w:rsidR="00270829" w:rsidRPr="00935AD0" w:rsidRDefault="00270829">
            <w:pPr>
              <w:spacing w:line="20" w:lineRule="atLeast"/>
              <w:jc w:val="both"/>
              <w:rPr>
                <w:rFonts w:ascii="Calibri" w:hAnsi="Calibri" w:cs="Calibri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6859"/>
            </w:tblGrid>
            <w:tr w:rsidR="00935AD0" w:rsidRPr="00935AD0" w14:paraId="1B9AEEF6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14:paraId="46C2C277" w14:textId="77777777" w:rsidR="00270829" w:rsidRPr="00935AD0" w:rsidRDefault="00164643">
                  <w:pPr>
                    <w:pStyle w:val="Normlnywebov"/>
                    <w:spacing w:after="0" w:line="20" w:lineRule="atLeas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35AD0">
                    <w:rPr>
                      <w:rFonts w:ascii="Calibri" w:hAnsi="Calibri" w:cs="Calibri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8AB3848" w14:textId="77777777" w:rsidR="00270829" w:rsidRPr="00935AD0" w:rsidRDefault="00164643">
                  <w:pPr>
                    <w:spacing w:line="20" w:lineRule="atLeast"/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podporovaním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spolupráce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medzi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</w:t>
                  </w:r>
                  <w:proofErr w:type="spellStart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>krajinami</w:t>
                  </w:r>
                  <w:proofErr w:type="spellEnd"/>
                  <w:r w:rsidRPr="00935AD0">
                    <w:rPr>
                      <w:rFonts w:ascii="Calibri" w:eastAsia="SimSun" w:hAnsi="Calibri" w:cs="Calibri"/>
                      <w:lang w:val="en-US" w:eastAsia="zh-CN" w:bidi="ar"/>
                    </w:rPr>
                    <w:t xml:space="preserve"> EÚ. </w:t>
                  </w:r>
                </w:p>
              </w:tc>
            </w:tr>
          </w:tbl>
          <w:p w14:paraId="21CE0DD0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Calibri"/>
                <w:lang w:eastAsia="sk-SK"/>
              </w:rPr>
            </w:pPr>
            <w:r w:rsidRPr="00935AD0">
              <w:rPr>
                <w:rFonts w:ascii="Calibri" w:eastAsia="Times New Roman" w:hAnsi="Calibri" w:cs="Calibri"/>
                <w:lang w:eastAsia="sk-SK"/>
              </w:rPr>
              <w:t xml:space="preserve">Výstup je v rámci vzdelávacieho procesu využiteľný pri hlbšom skúmaní problematiky </w:t>
            </w:r>
            <w:proofErr w:type="spellStart"/>
            <w:r w:rsidRPr="00935AD0">
              <w:rPr>
                <w:rFonts w:ascii="Calibri" w:eastAsia="Times New Roman" w:hAnsi="Calibri" w:cs="Calibri"/>
                <w:lang w:val="en-US" w:eastAsia="sk-SK"/>
              </w:rPr>
              <w:t>modernizácie</w:t>
            </w:r>
            <w:proofErr w:type="spellEnd"/>
            <w:r w:rsidRPr="00935AD0">
              <w:rPr>
                <w:rFonts w:ascii="Calibri" w:eastAsia="Times New Roman" w:hAnsi="Calibri" w:cs="Calibri"/>
                <w:lang w:val="en-US"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lang w:val="en-US" w:eastAsia="sk-SK"/>
              </w:rPr>
              <w:t>verejnej</w:t>
            </w:r>
            <w:proofErr w:type="spellEnd"/>
            <w:r w:rsidRPr="00935AD0">
              <w:rPr>
                <w:rFonts w:ascii="Calibri" w:eastAsia="Times New Roman" w:hAnsi="Calibri" w:cs="Calibri"/>
                <w:lang w:val="en-US"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lang w:val="en-US" w:eastAsia="sk-SK"/>
              </w:rPr>
              <w:t>správy</w:t>
            </w:r>
            <w:proofErr w:type="spellEnd"/>
            <w:r w:rsidRPr="00935AD0">
              <w:rPr>
                <w:rFonts w:ascii="Calibri" w:eastAsia="Times New Roman" w:hAnsi="Calibri" w:cs="Calibri"/>
                <w:lang w:eastAsia="sk-SK"/>
              </w:rPr>
              <w:t>, najmä pri písaní záverečných prác v prvom a druhom stupni štúdia, ale aj pri výskume v treťom stupni štúdia.   </w:t>
            </w:r>
          </w:p>
          <w:p w14:paraId="78F4B21C" w14:textId="77777777" w:rsidR="00270829" w:rsidRPr="00935AD0" w:rsidRDefault="00270829">
            <w:pPr>
              <w:spacing w:after="0"/>
              <w:jc w:val="both"/>
              <w:rPr>
                <w:rFonts w:ascii="Calibri" w:eastAsia="Times New Roman" w:hAnsi="Calibri" w:cs="Times New Roman"/>
                <w:lang w:eastAsia="sk-SK"/>
              </w:rPr>
            </w:pPr>
          </w:p>
          <w:p w14:paraId="5E61DC4C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lang w:eastAsia="sk-SK"/>
              </w:rPr>
            </w:pPr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In a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broader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aspect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,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scientific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output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embedded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framework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issue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modernization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public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administration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in Slovakia,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which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expressed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by e-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Government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represents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a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summary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legal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non-legal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measures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ensure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use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information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communication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technologies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public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administration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mentioned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activities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aim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ensure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support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provision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services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public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by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involving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new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technologies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They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are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motivated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by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Union's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efforts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support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access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Union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citizens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Union's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internal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market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.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subject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research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is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closely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related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efforts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European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Union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remove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barriers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to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trade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services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in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EU,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namely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:</w:t>
            </w:r>
          </w:p>
          <w:p w14:paraId="6B4D40D3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lang w:eastAsia="sk-SK"/>
              </w:rPr>
            </w:pPr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— by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simplifying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administrative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procedures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for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service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providers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;</w:t>
            </w:r>
          </w:p>
          <w:p w14:paraId="0DBCCA1A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lang w:eastAsia="sk-SK"/>
              </w:rPr>
            </w:pPr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— by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strengthening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rights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of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consumers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and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businesses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that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receive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services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; a</w:t>
            </w:r>
          </w:p>
          <w:p w14:paraId="1EA20D35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lang w:eastAsia="sk-SK"/>
              </w:rPr>
            </w:pPr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— by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supporting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cooperation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between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EU </w:t>
            </w:r>
            <w:proofErr w:type="spellStart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countries</w:t>
            </w:r>
            <w:proofErr w:type="spellEnd"/>
            <w:r w:rsidRPr="00935AD0">
              <w:rPr>
                <w:rFonts w:ascii="Calibri" w:eastAsia="Times New Roman" w:hAnsi="Calibri" w:cs="Calibri"/>
                <w:i/>
                <w:iCs/>
                <w:lang w:eastAsia="sk-SK"/>
              </w:rPr>
              <w:t>.</w:t>
            </w:r>
          </w:p>
          <w:p w14:paraId="49E161DA" w14:textId="77777777" w:rsidR="00270829" w:rsidRPr="00935AD0" w:rsidRDefault="00164643">
            <w:pPr>
              <w:spacing w:after="0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35AD0">
              <w:rPr>
                <w:rFonts w:ascii="Calibri" w:eastAsia="Times New Roman" w:hAnsi="Calibri" w:cs="Calibri"/>
                <w:i/>
                <w:iCs/>
                <w:lang w:val="en-GB" w:eastAsia="sk-SK"/>
              </w:rPr>
              <w:t xml:space="preserve">The output can be used in the educational process for a deeper study of the issue </w:t>
            </w:r>
            <w:r w:rsidRPr="00935AD0">
              <w:rPr>
                <w:rFonts w:ascii="Calibri" w:eastAsia="SimSun" w:hAnsi="Calibri" w:cs="Calibri"/>
                <w:i/>
                <w:iCs/>
                <w:lang w:val="en-US"/>
              </w:rPr>
              <w:t>of modernization of public administration</w:t>
            </w:r>
            <w:r w:rsidRPr="00935AD0">
              <w:rPr>
                <w:rFonts w:ascii="Calibri" w:eastAsia="Times New Roman" w:hAnsi="Calibri" w:cs="Calibri"/>
                <w:i/>
                <w:iCs/>
                <w:lang w:val="en-GB" w:eastAsia="sk-SK"/>
              </w:rPr>
              <w:t xml:space="preserve">, especially when writing the final </w:t>
            </w:r>
            <w:r w:rsidRPr="00935AD0">
              <w:rPr>
                <w:rFonts w:ascii="Calibri" w:eastAsia="Times New Roman" w:hAnsi="Calibri" w:cs="Calibri"/>
                <w:i/>
                <w:iCs/>
                <w:lang w:val="en-GB" w:eastAsia="sk-SK"/>
              </w:rPr>
              <w:lastRenderedPageBreak/>
              <w:t>thesis in the first and second cycle of studies, but also when doing research in the third cycle of studies.</w:t>
            </w:r>
          </w:p>
        </w:tc>
      </w:tr>
    </w:tbl>
    <w:p w14:paraId="009FF3B0" w14:textId="77777777" w:rsidR="00270829" w:rsidRDefault="00270829"/>
    <w:sectPr w:rsidR="0027082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4DBC" w14:textId="77777777" w:rsidR="00063FE2" w:rsidRDefault="00063FE2">
      <w:pPr>
        <w:spacing w:line="240" w:lineRule="auto"/>
      </w:pPr>
      <w:r>
        <w:separator/>
      </w:r>
    </w:p>
  </w:endnote>
  <w:endnote w:type="continuationSeparator" w:id="0">
    <w:p w14:paraId="4CC2EDD4" w14:textId="77777777" w:rsidR="00063FE2" w:rsidRDefault="00063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C095" w14:textId="77777777" w:rsidR="00270829" w:rsidRDefault="002708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7C88" w14:textId="77777777" w:rsidR="00270829" w:rsidRDefault="00164643">
    <w:pPr>
      <w:pStyle w:val="Pta"/>
    </w:pPr>
    <w:r>
      <w:t>T_Z_VTCAj_1/ 2020</w:t>
    </w:r>
  </w:p>
  <w:p w14:paraId="28731FFC" w14:textId="77777777" w:rsidR="00270829" w:rsidRDefault="0027082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FCC7" w14:textId="77777777" w:rsidR="00270829" w:rsidRDefault="002708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3B5B" w14:textId="77777777" w:rsidR="00063FE2" w:rsidRDefault="00063FE2">
      <w:pPr>
        <w:spacing w:after="0"/>
      </w:pPr>
      <w:r>
        <w:separator/>
      </w:r>
    </w:p>
  </w:footnote>
  <w:footnote w:type="continuationSeparator" w:id="0">
    <w:p w14:paraId="1239DC77" w14:textId="77777777" w:rsidR="00063FE2" w:rsidRDefault="00063FE2">
      <w:pPr>
        <w:spacing w:after="0"/>
      </w:pPr>
      <w:r>
        <w:continuationSeparator/>
      </w:r>
    </w:p>
  </w:footnote>
  <w:footnote w:id="1">
    <w:p w14:paraId="50CB82DE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2A685CFC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0C3FD54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79DA2174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40426A36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EF15D6D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1C9A0733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C12F8E1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5EE2C945" w14:textId="77777777" w:rsidR="00270829" w:rsidRDefault="00164643">
      <w:pPr>
        <w:pStyle w:val="Textpoznmkypodiarou"/>
        <w:ind w:left="-709" w:right="-426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B68D" w14:textId="77777777" w:rsidR="00270829" w:rsidRDefault="0027082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F585" w14:textId="77777777" w:rsidR="00270829" w:rsidRDefault="00164643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2F4978" wp14:editId="13224BD3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Trnavská univerzita v Trnave, Právnická fakulta</w:t>
    </w:r>
  </w:p>
  <w:p w14:paraId="5B6AD5F8" w14:textId="77777777" w:rsidR="00270829" w:rsidRDefault="0027082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41A1" w14:textId="77777777" w:rsidR="00270829" w:rsidRDefault="002708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D"/>
    <w:rsid w:val="00063FE2"/>
    <w:rsid w:val="0007382B"/>
    <w:rsid w:val="0008088C"/>
    <w:rsid w:val="000838E0"/>
    <w:rsid w:val="00087B3E"/>
    <w:rsid w:val="000D1F22"/>
    <w:rsid w:val="000E773A"/>
    <w:rsid w:val="00102D82"/>
    <w:rsid w:val="00112F47"/>
    <w:rsid w:val="00164643"/>
    <w:rsid w:val="001A42DD"/>
    <w:rsid w:val="001D03F4"/>
    <w:rsid w:val="001D6A44"/>
    <w:rsid w:val="001F26CD"/>
    <w:rsid w:val="00222794"/>
    <w:rsid w:val="00237E07"/>
    <w:rsid w:val="00242C6E"/>
    <w:rsid w:val="00270829"/>
    <w:rsid w:val="002919DE"/>
    <w:rsid w:val="002A0FE1"/>
    <w:rsid w:val="002E6FE9"/>
    <w:rsid w:val="00317E93"/>
    <w:rsid w:val="003345F2"/>
    <w:rsid w:val="00387CE6"/>
    <w:rsid w:val="003E03CB"/>
    <w:rsid w:val="004173E3"/>
    <w:rsid w:val="0042152F"/>
    <w:rsid w:val="00422600"/>
    <w:rsid w:val="004358A8"/>
    <w:rsid w:val="004656F6"/>
    <w:rsid w:val="004776A7"/>
    <w:rsid w:val="00497886"/>
    <w:rsid w:val="004D5CBD"/>
    <w:rsid w:val="004E4845"/>
    <w:rsid w:val="004F0879"/>
    <w:rsid w:val="004F2BB1"/>
    <w:rsid w:val="004F5815"/>
    <w:rsid w:val="00502F15"/>
    <w:rsid w:val="00532FE9"/>
    <w:rsid w:val="005517AF"/>
    <w:rsid w:val="00572798"/>
    <w:rsid w:val="005D6234"/>
    <w:rsid w:val="00675F63"/>
    <w:rsid w:val="006849EB"/>
    <w:rsid w:val="006E52AC"/>
    <w:rsid w:val="0073087F"/>
    <w:rsid w:val="007353ED"/>
    <w:rsid w:val="0074791C"/>
    <w:rsid w:val="007846F8"/>
    <w:rsid w:val="007D43B7"/>
    <w:rsid w:val="00811C62"/>
    <w:rsid w:val="00816E73"/>
    <w:rsid w:val="008471D2"/>
    <w:rsid w:val="00852CC7"/>
    <w:rsid w:val="00881702"/>
    <w:rsid w:val="00884925"/>
    <w:rsid w:val="008B78D7"/>
    <w:rsid w:val="008E2108"/>
    <w:rsid w:val="008E4E58"/>
    <w:rsid w:val="00935AD0"/>
    <w:rsid w:val="00950EFB"/>
    <w:rsid w:val="009547F9"/>
    <w:rsid w:val="0097031F"/>
    <w:rsid w:val="00974311"/>
    <w:rsid w:val="00975300"/>
    <w:rsid w:val="00980601"/>
    <w:rsid w:val="009A5365"/>
    <w:rsid w:val="00A10B6E"/>
    <w:rsid w:val="00A23768"/>
    <w:rsid w:val="00A44E1E"/>
    <w:rsid w:val="00A44F05"/>
    <w:rsid w:val="00A95EE7"/>
    <w:rsid w:val="00AF5EF9"/>
    <w:rsid w:val="00B15040"/>
    <w:rsid w:val="00B34A5D"/>
    <w:rsid w:val="00BA1526"/>
    <w:rsid w:val="00BF314A"/>
    <w:rsid w:val="00C16FE2"/>
    <w:rsid w:val="00C40D4D"/>
    <w:rsid w:val="00C622D0"/>
    <w:rsid w:val="00C86832"/>
    <w:rsid w:val="00D64B7C"/>
    <w:rsid w:val="00D733AB"/>
    <w:rsid w:val="00D81D79"/>
    <w:rsid w:val="00DA3A7D"/>
    <w:rsid w:val="00DC4C52"/>
    <w:rsid w:val="00DD0483"/>
    <w:rsid w:val="00DF77E6"/>
    <w:rsid w:val="00E8454F"/>
    <w:rsid w:val="00EC403D"/>
    <w:rsid w:val="00EC4DA2"/>
    <w:rsid w:val="00F165AB"/>
    <w:rsid w:val="00FE27EC"/>
    <w:rsid w:val="00FF6B5A"/>
    <w:rsid w:val="169C2E4C"/>
    <w:rsid w:val="1B41258E"/>
    <w:rsid w:val="28B561FC"/>
    <w:rsid w:val="57E123CF"/>
    <w:rsid w:val="58D37F01"/>
    <w:rsid w:val="6279342D"/>
    <w:rsid w:val="68A15B34"/>
    <w:rsid w:val="6AB62785"/>
    <w:rsid w:val="6F6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C3D0"/>
  <w15:docId w15:val="{BCB6E4F6-4DF9-4BB1-BE8D-2A8B8F0A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4F2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character" w:customStyle="1" w:styleId="normaltextrun">
    <w:name w:val="normaltextrun"/>
    <w:basedOn w:val="Predvolenpsmoodseku"/>
  </w:style>
  <w:style w:type="character" w:customStyle="1" w:styleId="spellingerror">
    <w:name w:val="spellingerror"/>
    <w:basedOn w:val="Predvolenpsmoodseku"/>
  </w:style>
  <w:style w:type="character" w:customStyle="1" w:styleId="eop">
    <w:name w:val="eop"/>
    <w:basedOn w:val="Predvolenpsmoodseku"/>
  </w:style>
  <w:style w:type="character" w:customStyle="1" w:styleId="apple-converted-space">
    <w:name w:val="apple-converted-space"/>
    <w:basedOn w:val="Predvolenpsmoodseku"/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2BB1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4F2BB1"/>
    <w:rPr>
      <w:rFonts w:eastAsia="Times New Roman"/>
      <w:b/>
      <w:bCs/>
      <w:sz w:val="27"/>
      <w:szCs w:val="27"/>
    </w:rPr>
  </w:style>
  <w:style w:type="character" w:styleId="Nevyrieenzmienka">
    <w:name w:val="Unresolved Mention"/>
    <w:basedOn w:val="Predvolenpsmoodseku"/>
    <w:uiPriority w:val="99"/>
    <w:semiHidden/>
    <w:unhideWhenUsed/>
    <w:rsid w:val="00C6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crepc.sk/?fn=detailBiblioForm&amp;sid=07CD9196D75C0557E920C3F2A0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http://ukftp.truni.sk/epc/12850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ezp.truni.sk/opacOLD?fn=*recview&amp;pageId=recview&amp;uid=151284&amp;fs=E71177BA9B62477CB980C334047A2554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1FB08-90E1-42A8-BC53-7D2315995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C2448-FB16-462A-B802-C7AABBD1C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68AF4-3965-415E-8A75-51CB99C600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5B4580-4D54-4633-917C-3EB4A9F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Brestovanská Daniela</cp:lastModifiedBy>
  <cp:revision>6</cp:revision>
  <dcterms:created xsi:type="dcterms:W3CDTF">2022-07-13T09:34:00Z</dcterms:created>
  <dcterms:modified xsi:type="dcterms:W3CDTF">2025-11-04T07:16:00Z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KSOProductBuildVer">
    <vt:lpwstr>1033-11.2.0.10308</vt:lpwstr>
  </property>
  <property fmtid="{D5CDD505-2E9C-101B-9397-08002B2CF9AE}" pid="11" name="ICV">
    <vt:lpwstr>729554163D894C37A4BE237817CBE4F7</vt:lpwstr>
  </property>
</Properties>
</file>