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6"/>
        <w:gridCol w:w="419"/>
        <w:gridCol w:w="2164"/>
        <w:gridCol w:w="7334"/>
      </w:tblGrid>
      <w:tr w:rsidR="00043FF0" w14:paraId="15F48BB4" w14:textId="77777777">
        <w:trPr>
          <w:trHeight w:val="204"/>
        </w:trPr>
        <w:tc>
          <w:tcPr>
            <w:tcW w:w="0" w:type="auto"/>
            <w:shd w:val="clear" w:color="auto" w:fill="auto"/>
            <w:vAlign w:val="bottom"/>
          </w:tcPr>
          <w:p w14:paraId="2198957E" w14:textId="77777777" w:rsidR="00043FF0" w:rsidRDefault="00043FF0">
            <w:pPr>
              <w:spacing w:after="0" w:line="240" w:lineRule="auto"/>
              <w:rPr>
                <w:rFonts w:ascii="Times New Roman" w:eastAsia="Times New Roman" w:hAnsi="Times New Roman" w:cs="Times New Roman"/>
                <w:lang w:eastAsia="sk-SK"/>
              </w:rPr>
            </w:pPr>
          </w:p>
        </w:tc>
        <w:tc>
          <w:tcPr>
            <w:tcW w:w="0" w:type="auto"/>
            <w:shd w:val="clear" w:color="auto" w:fill="auto"/>
            <w:vAlign w:val="center"/>
          </w:tcPr>
          <w:p w14:paraId="75ABC262" w14:textId="77777777" w:rsidR="00043FF0" w:rsidRDefault="00043FF0">
            <w:pPr>
              <w:spacing w:after="0" w:line="240" w:lineRule="auto"/>
              <w:rPr>
                <w:rFonts w:ascii="Times New Roman" w:eastAsia="Times New Roman" w:hAnsi="Times New Roman" w:cs="Times New Roman"/>
                <w:lang w:eastAsia="sk-SK"/>
              </w:rPr>
            </w:pPr>
          </w:p>
        </w:tc>
        <w:tc>
          <w:tcPr>
            <w:tcW w:w="0" w:type="auto"/>
            <w:shd w:val="clear" w:color="auto" w:fill="auto"/>
            <w:vAlign w:val="center"/>
          </w:tcPr>
          <w:p w14:paraId="594D31F8" w14:textId="77777777" w:rsidR="00043FF0" w:rsidRDefault="00043FF0">
            <w:pPr>
              <w:spacing w:after="0" w:line="240" w:lineRule="auto"/>
              <w:rPr>
                <w:rFonts w:ascii="Times New Roman" w:eastAsia="Times New Roman" w:hAnsi="Times New Roman" w:cs="Times New Roman"/>
                <w:lang w:eastAsia="sk-SK"/>
              </w:rPr>
            </w:pPr>
          </w:p>
        </w:tc>
        <w:tc>
          <w:tcPr>
            <w:tcW w:w="0" w:type="auto"/>
            <w:shd w:val="clear" w:color="auto" w:fill="auto"/>
          </w:tcPr>
          <w:p w14:paraId="0182E76A" w14:textId="77777777" w:rsidR="00043FF0" w:rsidRDefault="00043FF0">
            <w:pPr>
              <w:spacing w:after="0" w:line="240" w:lineRule="auto"/>
              <w:rPr>
                <w:rFonts w:ascii="Times New Roman" w:eastAsia="Times New Roman" w:hAnsi="Times New Roman" w:cs="Times New Roman"/>
                <w:lang w:eastAsia="sk-SK"/>
              </w:rPr>
            </w:pPr>
          </w:p>
        </w:tc>
      </w:tr>
      <w:tr w:rsidR="00043FF0" w14:paraId="41C6A9A1" w14:textId="77777777">
        <w:trPr>
          <w:trHeight w:val="450"/>
        </w:trPr>
        <w:tc>
          <w:tcPr>
            <w:tcW w:w="0" w:type="auto"/>
            <w:shd w:val="clear" w:color="auto" w:fill="auto"/>
            <w:vAlign w:val="center"/>
          </w:tcPr>
          <w:p w14:paraId="61A022B9" w14:textId="77777777" w:rsidR="00043FF0" w:rsidRDefault="00043FF0">
            <w:pPr>
              <w:spacing w:after="0" w:line="240" w:lineRule="auto"/>
              <w:rPr>
                <w:rFonts w:ascii="Times New Roman" w:eastAsia="Times New Roman" w:hAnsi="Times New Roman" w:cs="Times New Roman"/>
                <w:lang w:eastAsia="sk-SK"/>
              </w:rPr>
            </w:pPr>
          </w:p>
        </w:tc>
        <w:tc>
          <w:tcPr>
            <w:tcW w:w="0" w:type="auto"/>
            <w:gridSpan w:val="3"/>
            <w:vMerge w:val="restart"/>
            <w:shd w:val="clear" w:color="0563C1" w:fill="2F5597"/>
            <w:vAlign w:val="center"/>
          </w:tcPr>
          <w:p w14:paraId="57611099" w14:textId="77777777" w:rsidR="00043FF0" w:rsidRDefault="005A0824">
            <w:pPr>
              <w:spacing w:after="0" w:line="240" w:lineRule="auto"/>
              <w:jc w:val="center"/>
              <w:rPr>
                <w:rFonts w:ascii="Calibri" w:eastAsia="Times New Roman" w:hAnsi="Calibri" w:cs="Times New Roman"/>
                <w:b/>
                <w:bCs/>
                <w:color w:val="FFFFFF"/>
                <w:lang w:eastAsia="sk-SK"/>
              </w:rPr>
            </w:pPr>
            <w:r>
              <w:rPr>
                <w:rFonts w:ascii="Calibri" w:eastAsia="Times New Roman" w:hAnsi="Calibri" w:cs="Times New Roman"/>
                <w:b/>
                <w:bCs/>
                <w:color w:val="FFFFFF"/>
                <w:lang w:eastAsia="sk-SK"/>
              </w:rPr>
              <w:t xml:space="preserve">Charakteristika predkladaného výstupu tvorivej činnosti / </w:t>
            </w:r>
            <w:r>
              <w:rPr>
                <w:rFonts w:ascii="Calibri" w:eastAsia="Times New Roman" w:hAnsi="Calibri" w:cs="Times New Roman"/>
                <w:b/>
                <w:bCs/>
                <w:color w:val="FFFFFF"/>
                <w:lang w:eastAsia="sk-SK"/>
              </w:rPr>
              <w:br/>
              <w:t>Characteristics of the submitted research/ artistic/other output</w:t>
            </w:r>
          </w:p>
        </w:tc>
      </w:tr>
      <w:tr w:rsidR="00043FF0" w14:paraId="44CEB1FB" w14:textId="77777777">
        <w:trPr>
          <w:trHeight w:val="450"/>
        </w:trPr>
        <w:tc>
          <w:tcPr>
            <w:tcW w:w="0" w:type="auto"/>
            <w:shd w:val="clear" w:color="auto" w:fill="auto"/>
            <w:vAlign w:val="center"/>
          </w:tcPr>
          <w:p w14:paraId="7D665C7A" w14:textId="77777777" w:rsidR="00043FF0" w:rsidRDefault="00043FF0">
            <w:pPr>
              <w:spacing w:after="0" w:line="240" w:lineRule="auto"/>
              <w:jc w:val="center"/>
              <w:rPr>
                <w:rFonts w:ascii="Calibri" w:eastAsia="Times New Roman" w:hAnsi="Calibri" w:cs="Times New Roman"/>
                <w:b/>
                <w:bCs/>
                <w:color w:val="FFFFFF"/>
                <w:lang w:eastAsia="sk-SK"/>
              </w:rPr>
            </w:pPr>
          </w:p>
        </w:tc>
        <w:tc>
          <w:tcPr>
            <w:tcW w:w="0" w:type="auto"/>
            <w:gridSpan w:val="3"/>
            <w:vMerge/>
            <w:vAlign w:val="center"/>
          </w:tcPr>
          <w:p w14:paraId="5AF6B01A" w14:textId="77777777" w:rsidR="00043FF0" w:rsidRDefault="00043FF0">
            <w:pPr>
              <w:spacing w:after="0" w:line="240" w:lineRule="auto"/>
              <w:rPr>
                <w:rFonts w:ascii="Calibri" w:eastAsia="Times New Roman" w:hAnsi="Calibri" w:cs="Times New Roman"/>
                <w:b/>
                <w:bCs/>
                <w:color w:val="FFFFFF"/>
                <w:lang w:eastAsia="sk-SK"/>
              </w:rPr>
            </w:pPr>
          </w:p>
        </w:tc>
      </w:tr>
      <w:tr w:rsidR="00043FF0" w14:paraId="346D4039" w14:textId="77777777">
        <w:trPr>
          <w:trHeight w:val="60"/>
        </w:trPr>
        <w:tc>
          <w:tcPr>
            <w:tcW w:w="0" w:type="auto"/>
            <w:shd w:val="clear" w:color="auto" w:fill="auto"/>
            <w:vAlign w:val="bottom"/>
          </w:tcPr>
          <w:p w14:paraId="488ED089" w14:textId="77777777" w:rsidR="00043FF0" w:rsidRDefault="00043FF0">
            <w:pPr>
              <w:spacing w:after="0" w:line="240" w:lineRule="auto"/>
              <w:jc w:val="center"/>
              <w:rPr>
                <w:rFonts w:ascii="Times New Roman" w:eastAsia="Times New Roman" w:hAnsi="Times New Roman" w:cs="Times New Roman"/>
                <w:lang w:eastAsia="sk-SK"/>
              </w:rPr>
            </w:pPr>
          </w:p>
        </w:tc>
        <w:tc>
          <w:tcPr>
            <w:tcW w:w="0" w:type="auto"/>
            <w:shd w:val="clear" w:color="auto" w:fill="auto"/>
            <w:vAlign w:val="center"/>
          </w:tcPr>
          <w:p w14:paraId="29E2F641" w14:textId="77777777" w:rsidR="00043FF0" w:rsidRDefault="00043FF0">
            <w:pPr>
              <w:spacing w:after="0" w:line="240" w:lineRule="auto"/>
              <w:rPr>
                <w:rFonts w:ascii="Times New Roman" w:eastAsia="Times New Roman" w:hAnsi="Times New Roman" w:cs="Times New Roman"/>
                <w:lang w:eastAsia="sk-SK"/>
              </w:rPr>
            </w:pPr>
          </w:p>
        </w:tc>
        <w:tc>
          <w:tcPr>
            <w:tcW w:w="0" w:type="auto"/>
            <w:shd w:val="clear" w:color="auto" w:fill="auto"/>
            <w:vAlign w:val="center"/>
          </w:tcPr>
          <w:p w14:paraId="030DF754" w14:textId="77777777" w:rsidR="00043FF0" w:rsidRDefault="00043FF0">
            <w:pPr>
              <w:spacing w:after="0" w:line="240" w:lineRule="auto"/>
              <w:rPr>
                <w:rFonts w:ascii="Times New Roman" w:eastAsia="Times New Roman" w:hAnsi="Times New Roman" w:cs="Times New Roman"/>
                <w:lang w:eastAsia="sk-SK"/>
              </w:rPr>
            </w:pPr>
          </w:p>
        </w:tc>
        <w:tc>
          <w:tcPr>
            <w:tcW w:w="0" w:type="auto"/>
            <w:shd w:val="clear" w:color="auto" w:fill="auto"/>
          </w:tcPr>
          <w:p w14:paraId="49D61194" w14:textId="77777777" w:rsidR="00043FF0" w:rsidRDefault="00043FF0">
            <w:pPr>
              <w:spacing w:after="0" w:line="240" w:lineRule="auto"/>
              <w:rPr>
                <w:rFonts w:ascii="Times New Roman" w:eastAsia="Times New Roman" w:hAnsi="Times New Roman" w:cs="Times New Roman"/>
                <w:lang w:eastAsia="sk-SK"/>
              </w:rPr>
            </w:pPr>
          </w:p>
        </w:tc>
      </w:tr>
      <w:tr w:rsidR="00043FF0" w14:paraId="0ACEE67E" w14:textId="77777777">
        <w:trPr>
          <w:trHeight w:val="375"/>
        </w:trPr>
        <w:tc>
          <w:tcPr>
            <w:tcW w:w="0" w:type="auto"/>
            <w:shd w:val="clear" w:color="auto" w:fill="auto"/>
            <w:vAlign w:val="bottom"/>
          </w:tcPr>
          <w:p w14:paraId="5E4592F0" w14:textId="77777777" w:rsidR="00043FF0" w:rsidRDefault="00043FF0">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auto"/>
            <w:vAlign w:val="bottom"/>
          </w:tcPr>
          <w:p w14:paraId="2E22DEED" w14:textId="77777777" w:rsidR="00043FF0" w:rsidRDefault="005A0824">
            <w:pPr>
              <w:spacing w:after="0" w:line="240" w:lineRule="auto"/>
              <w:rPr>
                <w:rFonts w:ascii="Calibri" w:eastAsia="Times New Roman" w:hAnsi="Calibri" w:cs="Times New Roman"/>
                <w:i/>
                <w:iCs/>
                <w:color w:val="2F5597"/>
                <w:lang w:eastAsia="sk-SK"/>
              </w:rPr>
            </w:pPr>
            <w:r>
              <w:rPr>
                <w:rFonts w:ascii="Calibri" w:eastAsia="Times New Roman" w:hAnsi="Calibri" w:cs="Times New Roman"/>
                <w:i/>
                <w:iCs/>
                <w:color w:val="2F5597"/>
                <w:lang w:eastAsia="sk-SK"/>
              </w:rPr>
              <w:t xml:space="preserve">Tlačivo VTC slúži na predkladanie výstupov tvorivej činnosti podľa metodiky hodnotenia tvorivých činností (časť V. Metodiky na vyhodnocovanie štandardov) / The form is used to submit the research/artistic/other outputs according to the evaluation methodology of research/artistic/other activities (part V. The Methodology for Standards Evaluation). </w:t>
            </w:r>
          </w:p>
        </w:tc>
      </w:tr>
      <w:tr w:rsidR="00043FF0" w14:paraId="35F4AF9A" w14:textId="77777777">
        <w:trPr>
          <w:trHeight w:val="375"/>
        </w:trPr>
        <w:tc>
          <w:tcPr>
            <w:tcW w:w="0" w:type="auto"/>
            <w:shd w:val="clear" w:color="auto" w:fill="auto"/>
            <w:vAlign w:val="bottom"/>
          </w:tcPr>
          <w:p w14:paraId="3E6D32AF" w14:textId="77777777" w:rsidR="00043FF0" w:rsidRDefault="00043FF0">
            <w:pPr>
              <w:spacing w:after="0" w:line="240" w:lineRule="auto"/>
              <w:rPr>
                <w:rFonts w:ascii="Calibri" w:eastAsia="Times New Roman" w:hAnsi="Calibri" w:cs="Times New Roman"/>
                <w:i/>
                <w:iCs/>
                <w:color w:val="2F5597"/>
                <w:lang w:eastAsia="sk-SK"/>
              </w:rPr>
            </w:pPr>
          </w:p>
        </w:tc>
        <w:tc>
          <w:tcPr>
            <w:tcW w:w="0" w:type="auto"/>
            <w:gridSpan w:val="3"/>
            <w:vMerge/>
            <w:vAlign w:val="center"/>
          </w:tcPr>
          <w:p w14:paraId="7E3E4547" w14:textId="77777777" w:rsidR="00043FF0" w:rsidRDefault="00043FF0">
            <w:pPr>
              <w:spacing w:after="0" w:line="240" w:lineRule="auto"/>
              <w:rPr>
                <w:rFonts w:ascii="Calibri" w:eastAsia="Times New Roman" w:hAnsi="Calibri" w:cs="Times New Roman"/>
                <w:i/>
                <w:iCs/>
                <w:color w:val="2F5597"/>
                <w:lang w:eastAsia="sk-SK"/>
              </w:rPr>
            </w:pPr>
          </w:p>
        </w:tc>
      </w:tr>
      <w:tr w:rsidR="00043FF0" w14:paraId="7402CF2E" w14:textId="77777777">
        <w:trPr>
          <w:trHeight w:val="90"/>
        </w:trPr>
        <w:tc>
          <w:tcPr>
            <w:tcW w:w="0" w:type="auto"/>
            <w:shd w:val="clear" w:color="auto" w:fill="auto"/>
            <w:vAlign w:val="bottom"/>
          </w:tcPr>
          <w:p w14:paraId="070175B3" w14:textId="77777777" w:rsidR="00043FF0" w:rsidRDefault="00043FF0">
            <w:pPr>
              <w:spacing w:after="0" w:line="240" w:lineRule="auto"/>
              <w:rPr>
                <w:rFonts w:ascii="Times New Roman" w:eastAsia="Times New Roman" w:hAnsi="Times New Roman" w:cs="Times New Roman"/>
                <w:lang w:eastAsia="sk-SK"/>
              </w:rPr>
            </w:pPr>
          </w:p>
        </w:tc>
        <w:tc>
          <w:tcPr>
            <w:tcW w:w="0" w:type="auto"/>
            <w:shd w:val="clear" w:color="auto" w:fill="auto"/>
            <w:vAlign w:val="center"/>
          </w:tcPr>
          <w:p w14:paraId="5E0D03D5" w14:textId="77777777" w:rsidR="00043FF0" w:rsidRDefault="00043FF0">
            <w:pPr>
              <w:spacing w:after="0" w:line="240" w:lineRule="auto"/>
              <w:rPr>
                <w:rFonts w:ascii="Times New Roman" w:eastAsia="Times New Roman" w:hAnsi="Times New Roman" w:cs="Times New Roman"/>
                <w:lang w:eastAsia="sk-SK"/>
              </w:rPr>
            </w:pPr>
          </w:p>
        </w:tc>
        <w:tc>
          <w:tcPr>
            <w:tcW w:w="0" w:type="auto"/>
            <w:shd w:val="clear" w:color="auto" w:fill="auto"/>
            <w:vAlign w:val="center"/>
          </w:tcPr>
          <w:p w14:paraId="3458D7E0" w14:textId="77777777" w:rsidR="00043FF0" w:rsidRDefault="00043FF0">
            <w:pPr>
              <w:spacing w:after="0" w:line="240" w:lineRule="auto"/>
              <w:rPr>
                <w:rFonts w:ascii="Times New Roman" w:eastAsia="Times New Roman" w:hAnsi="Times New Roman" w:cs="Times New Roman"/>
                <w:lang w:eastAsia="sk-SK"/>
              </w:rPr>
            </w:pPr>
          </w:p>
        </w:tc>
        <w:tc>
          <w:tcPr>
            <w:tcW w:w="0" w:type="auto"/>
            <w:shd w:val="clear" w:color="auto" w:fill="auto"/>
          </w:tcPr>
          <w:p w14:paraId="4F5E6984" w14:textId="77777777" w:rsidR="00043FF0" w:rsidRDefault="00043FF0">
            <w:pPr>
              <w:spacing w:after="0" w:line="240" w:lineRule="auto"/>
              <w:rPr>
                <w:rFonts w:ascii="Times New Roman" w:eastAsia="Times New Roman" w:hAnsi="Times New Roman" w:cs="Times New Roman"/>
                <w:lang w:eastAsia="sk-SK"/>
              </w:rPr>
            </w:pPr>
          </w:p>
        </w:tc>
      </w:tr>
      <w:tr w:rsidR="00043FF0" w14:paraId="0B4E58BD" w14:textId="77777777">
        <w:trPr>
          <w:trHeight w:val="345"/>
        </w:trPr>
        <w:tc>
          <w:tcPr>
            <w:tcW w:w="0" w:type="auto"/>
            <w:shd w:val="clear" w:color="auto" w:fill="auto"/>
            <w:vAlign w:val="bottom"/>
          </w:tcPr>
          <w:p w14:paraId="2AD31CEF" w14:textId="77777777" w:rsidR="00043FF0" w:rsidRDefault="00043FF0">
            <w:pPr>
              <w:spacing w:after="0" w:line="240" w:lineRule="auto"/>
              <w:rPr>
                <w:rFonts w:ascii="Times New Roman" w:eastAsia="Times New Roman" w:hAnsi="Times New Roman" w:cs="Times New Roman"/>
                <w:lang w:eastAsia="sk-SK"/>
              </w:rPr>
            </w:pPr>
          </w:p>
        </w:tc>
        <w:tc>
          <w:tcPr>
            <w:tcW w:w="0" w:type="auto"/>
            <w:shd w:val="clear" w:color="auto" w:fill="auto"/>
            <w:vAlign w:val="center"/>
          </w:tcPr>
          <w:p w14:paraId="0009D52B" w14:textId="77777777" w:rsidR="00043FF0" w:rsidRDefault="00043FF0">
            <w:pPr>
              <w:spacing w:after="0" w:line="240" w:lineRule="auto"/>
              <w:rPr>
                <w:rFonts w:ascii="Times New Roman" w:eastAsia="Times New Roman" w:hAnsi="Times New Roman" w:cs="Times New Roman"/>
                <w:lang w:eastAsia="sk-SK"/>
              </w:rPr>
            </w:pPr>
          </w:p>
        </w:tc>
        <w:tc>
          <w:tcPr>
            <w:tcW w:w="0" w:type="auto"/>
            <w:shd w:val="clear" w:color="000000" w:fill="D9E1F2"/>
            <w:vAlign w:val="center"/>
          </w:tcPr>
          <w:p w14:paraId="14438C05" w14:textId="77777777" w:rsidR="00043FF0" w:rsidRDefault="006A4D7B">
            <w:pPr>
              <w:spacing w:after="0" w:line="240" w:lineRule="auto"/>
              <w:rPr>
                <w:rFonts w:ascii="Calibri" w:eastAsia="Times New Roman" w:hAnsi="Calibri" w:cs="Times New Roman"/>
                <w:lang w:eastAsia="sk-SK"/>
              </w:rPr>
            </w:pPr>
            <w:hyperlink r:id="rId11" w:anchor="'poznamky_explanatory notes'!A1" w:history="1">
              <w:r w:rsidR="005A0824">
                <w:rPr>
                  <w:rFonts w:ascii="Calibri" w:eastAsia="Times New Roman" w:hAnsi="Calibri" w:cs="Times New Roman"/>
                  <w:lang w:eastAsia="sk-SK"/>
                </w:rPr>
                <w:t>ID konania/ID of the procedure:</w:t>
              </w:r>
            </w:hyperlink>
            <w:r w:rsidR="005A0824">
              <w:rPr>
                <w:rStyle w:val="Odkaznapoznmkupodiarou"/>
                <w:rFonts w:ascii="Calibri" w:eastAsia="Times New Roman" w:hAnsi="Calibri" w:cs="Times New Roman"/>
                <w:lang w:eastAsia="sk-SK"/>
              </w:rPr>
              <w:footnoteReference w:id="1"/>
            </w:r>
          </w:p>
        </w:tc>
        <w:tc>
          <w:tcPr>
            <w:tcW w:w="0" w:type="auto"/>
            <w:shd w:val="clear" w:color="auto" w:fill="auto"/>
          </w:tcPr>
          <w:p w14:paraId="35760298" w14:textId="77777777" w:rsidR="00043FF0" w:rsidRDefault="005A0824">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 </w:t>
            </w:r>
          </w:p>
        </w:tc>
      </w:tr>
      <w:tr w:rsidR="00043FF0" w14:paraId="4E980BA9" w14:textId="77777777">
        <w:trPr>
          <w:trHeight w:val="345"/>
        </w:trPr>
        <w:tc>
          <w:tcPr>
            <w:tcW w:w="0" w:type="auto"/>
            <w:shd w:val="clear" w:color="auto" w:fill="auto"/>
            <w:vAlign w:val="bottom"/>
          </w:tcPr>
          <w:p w14:paraId="57AF0421" w14:textId="77777777" w:rsidR="00043FF0" w:rsidRDefault="00043FF0">
            <w:pPr>
              <w:spacing w:after="0" w:line="240" w:lineRule="auto"/>
              <w:rPr>
                <w:rFonts w:ascii="Calibri" w:eastAsia="Times New Roman" w:hAnsi="Calibri" w:cs="Times New Roman"/>
                <w:color w:val="000000"/>
                <w:lang w:eastAsia="sk-SK"/>
              </w:rPr>
            </w:pPr>
          </w:p>
        </w:tc>
        <w:tc>
          <w:tcPr>
            <w:tcW w:w="0" w:type="auto"/>
            <w:shd w:val="clear" w:color="auto" w:fill="auto"/>
            <w:vAlign w:val="center"/>
          </w:tcPr>
          <w:p w14:paraId="703E4C0A" w14:textId="77777777" w:rsidR="00043FF0" w:rsidRDefault="00043FF0">
            <w:pPr>
              <w:spacing w:after="0" w:line="240" w:lineRule="auto"/>
              <w:rPr>
                <w:rFonts w:ascii="Times New Roman" w:eastAsia="Times New Roman" w:hAnsi="Times New Roman" w:cs="Times New Roman"/>
                <w:lang w:eastAsia="sk-SK"/>
              </w:rPr>
            </w:pPr>
          </w:p>
        </w:tc>
        <w:bookmarkStart w:id="0" w:name="RANGE!C9"/>
        <w:tc>
          <w:tcPr>
            <w:tcW w:w="0" w:type="auto"/>
            <w:shd w:val="clear" w:color="000000" w:fill="D9E1F2"/>
            <w:vAlign w:val="center"/>
          </w:tcPr>
          <w:p w14:paraId="20F8049C" w14:textId="77777777" w:rsidR="00043FF0" w:rsidRDefault="005A0824">
            <w:pPr>
              <w:spacing w:after="0" w:line="240" w:lineRule="auto"/>
              <w:rPr>
                <w:rFonts w:ascii="Calibri" w:eastAsia="Times New Roman" w:hAnsi="Calibri" w:cs="Times New Roman"/>
                <w:lang w:eastAsia="sk-SK"/>
              </w:rPr>
            </w:pPr>
            <w:r>
              <w:rPr>
                <w:rFonts w:ascii="Calibri" w:eastAsia="Times New Roman" w:hAnsi="Calibri" w:cs="Times New Roman"/>
                <w:lang w:eastAsia="sk-SK"/>
              </w:rPr>
              <w:fldChar w:fldCharType="begin"/>
            </w:r>
            <w:r>
              <w:rPr>
                <w:rFonts w:ascii="Calibri" w:eastAsia="Times New Roman" w:hAnsi="Calibri"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Pr>
                <w:rFonts w:ascii="Calibri" w:eastAsia="Times New Roman" w:hAnsi="Calibri" w:cs="Times New Roman"/>
                <w:lang w:eastAsia="sk-SK"/>
              </w:rPr>
            </w:r>
            <w:r>
              <w:rPr>
                <w:rFonts w:ascii="Calibri" w:eastAsia="Times New Roman" w:hAnsi="Calibri" w:cs="Times New Roman"/>
                <w:lang w:eastAsia="sk-SK"/>
              </w:rPr>
              <w:fldChar w:fldCharType="separate"/>
            </w:r>
            <w:r>
              <w:rPr>
                <w:rFonts w:ascii="Calibri" w:eastAsia="Times New Roman" w:hAnsi="Calibri" w:cs="Times New Roman"/>
                <w:lang w:eastAsia="sk-SK"/>
              </w:rPr>
              <w:t>Kód VTC/Code of the research/artistic/other output (RAOO):</w:t>
            </w:r>
            <w:r>
              <w:rPr>
                <w:rFonts w:ascii="Calibri" w:eastAsia="Times New Roman" w:hAnsi="Calibri" w:cs="Times New Roman"/>
                <w:vertAlign w:val="superscript"/>
                <w:lang w:eastAsia="sk-SK"/>
              </w:rPr>
              <w:t>1</w:t>
            </w:r>
            <w:r>
              <w:rPr>
                <w:rFonts w:ascii="Calibri" w:eastAsia="Times New Roman" w:hAnsi="Calibri" w:cs="Times New Roman"/>
                <w:lang w:eastAsia="sk-SK"/>
              </w:rPr>
              <w:fldChar w:fldCharType="end"/>
            </w:r>
            <w:bookmarkEnd w:id="0"/>
          </w:p>
        </w:tc>
        <w:tc>
          <w:tcPr>
            <w:tcW w:w="0" w:type="auto"/>
            <w:shd w:val="clear" w:color="auto" w:fill="auto"/>
          </w:tcPr>
          <w:p w14:paraId="65D59A94" w14:textId="77777777" w:rsidR="00043FF0" w:rsidRDefault="005A0824">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 </w:t>
            </w:r>
          </w:p>
        </w:tc>
      </w:tr>
      <w:tr w:rsidR="00043FF0" w14:paraId="65FAD9F3" w14:textId="77777777">
        <w:trPr>
          <w:trHeight w:val="405"/>
        </w:trPr>
        <w:tc>
          <w:tcPr>
            <w:tcW w:w="0" w:type="auto"/>
            <w:shd w:val="clear" w:color="auto" w:fill="auto"/>
            <w:vAlign w:val="bottom"/>
          </w:tcPr>
          <w:p w14:paraId="3A0441D0" w14:textId="77777777" w:rsidR="00043FF0" w:rsidRDefault="00043FF0">
            <w:pPr>
              <w:spacing w:after="0" w:line="240" w:lineRule="auto"/>
              <w:rPr>
                <w:rFonts w:ascii="Calibri" w:eastAsia="Times New Roman" w:hAnsi="Calibri" w:cs="Times New Roman"/>
                <w:color w:val="000000"/>
                <w:lang w:eastAsia="sk-SK"/>
              </w:rPr>
            </w:pPr>
          </w:p>
        </w:tc>
        <w:tc>
          <w:tcPr>
            <w:tcW w:w="0" w:type="auto"/>
            <w:shd w:val="clear" w:color="auto" w:fill="auto"/>
            <w:vAlign w:val="center"/>
          </w:tcPr>
          <w:p w14:paraId="505DA639" w14:textId="77777777" w:rsidR="00043FF0" w:rsidRDefault="00043FF0">
            <w:pPr>
              <w:spacing w:after="0" w:line="240" w:lineRule="auto"/>
              <w:rPr>
                <w:rFonts w:ascii="Times New Roman" w:eastAsia="Times New Roman" w:hAnsi="Times New Roman" w:cs="Times New Roman"/>
                <w:lang w:eastAsia="sk-SK"/>
              </w:rPr>
            </w:pPr>
          </w:p>
        </w:tc>
        <w:tc>
          <w:tcPr>
            <w:tcW w:w="0" w:type="auto"/>
            <w:shd w:val="clear" w:color="auto" w:fill="auto"/>
            <w:vAlign w:val="center"/>
          </w:tcPr>
          <w:p w14:paraId="33BEB47F" w14:textId="77777777" w:rsidR="00043FF0" w:rsidRDefault="00043FF0">
            <w:pPr>
              <w:spacing w:after="0" w:line="240" w:lineRule="auto"/>
              <w:rPr>
                <w:rFonts w:ascii="Times New Roman" w:eastAsia="Times New Roman" w:hAnsi="Times New Roman" w:cs="Times New Roman"/>
                <w:lang w:eastAsia="sk-SK"/>
              </w:rPr>
            </w:pPr>
          </w:p>
        </w:tc>
        <w:tc>
          <w:tcPr>
            <w:tcW w:w="0" w:type="auto"/>
            <w:shd w:val="clear" w:color="auto" w:fill="auto"/>
          </w:tcPr>
          <w:p w14:paraId="361F332B" w14:textId="77777777" w:rsidR="00043FF0" w:rsidRDefault="00043FF0">
            <w:pPr>
              <w:spacing w:after="0" w:line="240" w:lineRule="auto"/>
              <w:rPr>
                <w:rFonts w:ascii="Times New Roman" w:eastAsia="Times New Roman" w:hAnsi="Times New Roman" w:cs="Times New Roman"/>
                <w:lang w:eastAsia="sk-SK"/>
              </w:rPr>
            </w:pPr>
          </w:p>
        </w:tc>
      </w:tr>
      <w:tr w:rsidR="00043FF0" w14:paraId="434596E4" w14:textId="77777777">
        <w:trPr>
          <w:trHeight w:val="510"/>
        </w:trPr>
        <w:tc>
          <w:tcPr>
            <w:tcW w:w="0" w:type="auto"/>
            <w:shd w:val="clear" w:color="auto" w:fill="auto"/>
            <w:vAlign w:val="bottom"/>
          </w:tcPr>
          <w:p w14:paraId="63883D9B" w14:textId="77777777" w:rsidR="00043FF0" w:rsidRDefault="00043FF0">
            <w:pPr>
              <w:spacing w:after="0" w:line="240" w:lineRule="auto"/>
              <w:rPr>
                <w:rFonts w:ascii="Times New Roman" w:eastAsia="Times New Roman" w:hAnsi="Times New Roman" w:cs="Times New Roman"/>
                <w:lang w:eastAsia="sk-SK"/>
              </w:rPr>
            </w:pPr>
          </w:p>
        </w:tc>
        <w:tc>
          <w:tcPr>
            <w:tcW w:w="0" w:type="auto"/>
            <w:gridSpan w:val="2"/>
            <w:shd w:val="clear" w:color="000000" w:fill="D9E1F2"/>
            <w:vAlign w:val="center"/>
          </w:tcPr>
          <w:p w14:paraId="7CB04696" w14:textId="77777777" w:rsidR="00043FF0" w:rsidRDefault="006A4D7B">
            <w:pPr>
              <w:spacing w:after="0" w:line="240" w:lineRule="auto"/>
              <w:rPr>
                <w:rFonts w:ascii="Calibri" w:eastAsia="Times New Roman" w:hAnsi="Calibri" w:cs="Times New Roman"/>
                <w:lang w:eastAsia="sk-SK"/>
              </w:rPr>
            </w:pPr>
            <w:hyperlink r:id="rId12" w:anchor="'poznamky_explanatory notes'!A1" w:history="1">
              <w:r w:rsidR="005A0824">
                <w:rPr>
                  <w:rFonts w:ascii="Calibri" w:eastAsia="Times New Roman" w:hAnsi="Calibri" w:cs="Times New Roman"/>
                  <w:lang w:eastAsia="sk-SK"/>
                </w:rPr>
                <w:t>OCA1.</w:t>
              </w:r>
              <w:r w:rsidR="005A0824">
                <w:rPr>
                  <w:rFonts w:ascii="Calibri" w:eastAsia="Times New Roman" w:hAnsi="Calibri" w:cs="Times New Roman"/>
                  <w:b/>
                  <w:lang w:eastAsia="sk-SK"/>
                </w:rPr>
                <w:t xml:space="preserve"> Priezvisko hodnotenej osob</w:t>
              </w:r>
              <w:r w:rsidR="005A0824">
                <w:rPr>
                  <w:rFonts w:ascii="Calibri" w:eastAsia="Times New Roman" w:hAnsi="Calibri" w:cs="Times New Roman"/>
                  <w:lang w:eastAsia="sk-SK"/>
                </w:rPr>
                <w:t xml:space="preserve">y / Surname awarded to the assessed person </w:t>
              </w:r>
            </w:hyperlink>
            <w:r w:rsidR="005A0824">
              <w:rPr>
                <w:rStyle w:val="Odkaznapoznmkupodiarou"/>
                <w:rFonts w:ascii="Calibri" w:eastAsia="Times New Roman" w:hAnsi="Calibri" w:cs="Times New Roman"/>
                <w:lang w:eastAsia="sk-SK"/>
              </w:rPr>
              <w:footnoteReference w:id="2"/>
            </w:r>
          </w:p>
        </w:tc>
        <w:tc>
          <w:tcPr>
            <w:tcW w:w="0" w:type="auto"/>
            <w:shd w:val="clear" w:color="auto" w:fill="auto"/>
          </w:tcPr>
          <w:p w14:paraId="7D5BBBEE" w14:textId="77777777" w:rsidR="00043FF0" w:rsidRDefault="005A0824">
            <w:pPr>
              <w:spacing w:after="0" w:line="240" w:lineRule="auto"/>
              <w:rPr>
                <w:rFonts w:ascii="Calibri" w:eastAsia="Times New Roman" w:hAnsi="Calibri" w:cs="Times New Roman"/>
                <w:lang w:val="en-US" w:eastAsia="sk-SK"/>
              </w:rPr>
            </w:pPr>
            <w:r>
              <w:rPr>
                <w:rFonts w:ascii="Calibri" w:eastAsia="Times New Roman" w:hAnsi="Calibri" w:cs="Times New Roman"/>
                <w:lang w:val="en-US" w:eastAsia="sk-SK"/>
              </w:rPr>
              <w:t>Košičiarová</w:t>
            </w:r>
          </w:p>
        </w:tc>
      </w:tr>
      <w:tr w:rsidR="00043FF0" w14:paraId="1893A83E" w14:textId="77777777">
        <w:trPr>
          <w:trHeight w:val="315"/>
        </w:trPr>
        <w:tc>
          <w:tcPr>
            <w:tcW w:w="0" w:type="auto"/>
            <w:shd w:val="clear" w:color="auto" w:fill="auto"/>
            <w:vAlign w:val="bottom"/>
          </w:tcPr>
          <w:p w14:paraId="5FBA855D" w14:textId="77777777" w:rsidR="00043FF0" w:rsidRDefault="00043FF0">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tcPr>
          <w:p w14:paraId="119B2724" w14:textId="77777777" w:rsidR="00043FF0" w:rsidRDefault="006A4D7B">
            <w:pPr>
              <w:spacing w:after="0" w:line="240" w:lineRule="auto"/>
              <w:rPr>
                <w:rFonts w:ascii="Calibri" w:eastAsia="Times New Roman" w:hAnsi="Calibri" w:cs="Times New Roman"/>
                <w:lang w:eastAsia="sk-SK"/>
              </w:rPr>
            </w:pPr>
            <w:hyperlink r:id="rId13" w:anchor="'poznamky_explanatory notes'!A1" w:history="1">
              <w:r w:rsidR="005A0824">
                <w:rPr>
                  <w:rFonts w:ascii="Calibri" w:eastAsia="Times New Roman" w:hAnsi="Calibri" w:cs="Times New Roman"/>
                  <w:lang w:eastAsia="sk-SK"/>
                </w:rPr>
                <w:t xml:space="preserve">OCA2. </w:t>
              </w:r>
              <w:r w:rsidR="005A0824">
                <w:rPr>
                  <w:rFonts w:ascii="Calibri" w:eastAsia="Times New Roman" w:hAnsi="Calibri" w:cs="Times New Roman"/>
                  <w:b/>
                  <w:lang w:eastAsia="sk-SK"/>
                </w:rPr>
                <w:t>Meno hodnotenej osoby</w:t>
              </w:r>
              <w:r w:rsidR="005A0824">
                <w:rPr>
                  <w:rFonts w:ascii="Calibri" w:eastAsia="Times New Roman" w:hAnsi="Calibri" w:cs="Times New Roman"/>
                  <w:lang w:eastAsia="sk-SK"/>
                </w:rPr>
                <w:t xml:space="preserve"> / Name awarded to the assessed person </w:t>
              </w:r>
              <w:r w:rsidR="005A0824">
                <w:rPr>
                  <w:rFonts w:ascii="Calibri" w:eastAsia="Times New Roman" w:hAnsi="Calibri" w:cs="Times New Roman"/>
                  <w:vertAlign w:val="superscript"/>
                  <w:lang w:eastAsia="sk-SK"/>
                </w:rPr>
                <w:t>2</w:t>
              </w:r>
            </w:hyperlink>
          </w:p>
        </w:tc>
        <w:tc>
          <w:tcPr>
            <w:tcW w:w="0" w:type="auto"/>
            <w:shd w:val="clear" w:color="auto" w:fill="auto"/>
          </w:tcPr>
          <w:p w14:paraId="08394834" w14:textId="77777777" w:rsidR="00043FF0" w:rsidRDefault="005A0824">
            <w:pPr>
              <w:spacing w:after="0" w:line="240" w:lineRule="auto"/>
              <w:rPr>
                <w:rFonts w:ascii="Calibri" w:eastAsia="Times New Roman" w:hAnsi="Calibri" w:cs="Times New Roman"/>
                <w:lang w:val="en-US" w:eastAsia="sk-SK"/>
              </w:rPr>
            </w:pPr>
            <w:r>
              <w:rPr>
                <w:rFonts w:ascii="Calibri" w:eastAsia="Times New Roman" w:hAnsi="Calibri" w:cs="Times New Roman"/>
                <w:lang w:val="en-US" w:eastAsia="sk-SK"/>
              </w:rPr>
              <w:t>Soňa</w:t>
            </w:r>
          </w:p>
        </w:tc>
      </w:tr>
      <w:tr w:rsidR="00043FF0" w14:paraId="0949BB69" w14:textId="77777777">
        <w:trPr>
          <w:trHeight w:val="510"/>
        </w:trPr>
        <w:tc>
          <w:tcPr>
            <w:tcW w:w="0" w:type="auto"/>
            <w:shd w:val="clear" w:color="auto" w:fill="auto"/>
            <w:vAlign w:val="bottom"/>
          </w:tcPr>
          <w:p w14:paraId="73AA1296" w14:textId="77777777" w:rsidR="00043FF0" w:rsidRDefault="00043FF0">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tcPr>
          <w:p w14:paraId="5E97E9F2" w14:textId="77777777" w:rsidR="00043FF0" w:rsidRDefault="006A4D7B">
            <w:pPr>
              <w:spacing w:after="0" w:line="240" w:lineRule="auto"/>
              <w:rPr>
                <w:rFonts w:ascii="Calibri" w:eastAsia="Times New Roman" w:hAnsi="Calibri" w:cs="Times New Roman"/>
                <w:lang w:eastAsia="sk-SK"/>
              </w:rPr>
            </w:pPr>
            <w:hyperlink r:id="rId14" w:anchor="'poznamky_explanatory notes'!A1" w:history="1">
              <w:r w:rsidR="005A0824">
                <w:rPr>
                  <w:rFonts w:ascii="Calibri" w:eastAsia="Times New Roman" w:hAnsi="Calibri" w:cs="Times New Roman"/>
                  <w:lang w:eastAsia="sk-SK"/>
                </w:rPr>
                <w:t xml:space="preserve">OCA3. </w:t>
              </w:r>
              <w:r w:rsidR="005A0824">
                <w:rPr>
                  <w:rFonts w:ascii="Calibri" w:eastAsia="Times New Roman" w:hAnsi="Calibri" w:cs="Times New Roman"/>
                  <w:b/>
                  <w:lang w:eastAsia="sk-SK"/>
                </w:rPr>
                <w:t>Tituly hodnotenej osoby</w:t>
              </w:r>
              <w:r w:rsidR="005A0824">
                <w:rPr>
                  <w:rFonts w:ascii="Calibri" w:eastAsia="Times New Roman" w:hAnsi="Calibri" w:cs="Times New Roman"/>
                  <w:lang w:eastAsia="sk-SK"/>
                </w:rPr>
                <w:t xml:space="preserve"> / Degrees awarded to the assessed person </w:t>
              </w:r>
              <w:r w:rsidR="005A0824">
                <w:rPr>
                  <w:rFonts w:ascii="Calibri" w:eastAsia="Times New Roman" w:hAnsi="Calibri" w:cs="Times New Roman"/>
                  <w:vertAlign w:val="superscript"/>
                  <w:lang w:eastAsia="sk-SK"/>
                </w:rPr>
                <w:t>2</w:t>
              </w:r>
            </w:hyperlink>
          </w:p>
        </w:tc>
        <w:tc>
          <w:tcPr>
            <w:tcW w:w="0" w:type="auto"/>
            <w:shd w:val="clear" w:color="auto" w:fill="auto"/>
          </w:tcPr>
          <w:p w14:paraId="04F6C0A9" w14:textId="77777777" w:rsidR="00043FF0" w:rsidRDefault="005A0824">
            <w:pPr>
              <w:spacing w:after="0" w:line="240" w:lineRule="auto"/>
              <w:rPr>
                <w:rFonts w:ascii="Calibri" w:eastAsia="Times New Roman" w:hAnsi="Calibri" w:cs="Times New Roman"/>
                <w:lang w:eastAsia="sk-SK"/>
              </w:rPr>
            </w:pPr>
            <w:r>
              <w:rPr>
                <w:rFonts w:ascii="Calibri" w:eastAsia="Times New Roman" w:hAnsi="Calibri" w:cs="Times New Roman"/>
                <w:lang w:val="en-US" w:eastAsia="sk-SK"/>
              </w:rPr>
              <w:t>prof</w:t>
            </w:r>
            <w:r>
              <w:rPr>
                <w:rFonts w:ascii="Calibri" w:eastAsia="Times New Roman" w:hAnsi="Calibri" w:cs="Times New Roman"/>
                <w:lang w:eastAsia="sk-SK"/>
              </w:rPr>
              <w:t>. JUDr., PhD.</w:t>
            </w:r>
          </w:p>
        </w:tc>
      </w:tr>
      <w:tr w:rsidR="00043FF0" w14:paraId="2A2BB8A4" w14:textId="77777777">
        <w:trPr>
          <w:trHeight w:val="660"/>
        </w:trPr>
        <w:tc>
          <w:tcPr>
            <w:tcW w:w="0" w:type="auto"/>
            <w:shd w:val="clear" w:color="auto" w:fill="auto"/>
            <w:vAlign w:val="bottom"/>
          </w:tcPr>
          <w:p w14:paraId="6CA75E78" w14:textId="77777777" w:rsidR="00043FF0" w:rsidRDefault="00043FF0">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tcPr>
          <w:p w14:paraId="6BE00BB1" w14:textId="77777777" w:rsidR="00043FF0" w:rsidRDefault="006A4D7B">
            <w:pPr>
              <w:spacing w:after="0" w:line="240" w:lineRule="auto"/>
              <w:rPr>
                <w:rFonts w:ascii="Calibri" w:eastAsia="Times New Roman" w:hAnsi="Calibri" w:cs="Times New Roman"/>
                <w:lang w:eastAsia="sk-SK"/>
              </w:rPr>
            </w:pPr>
            <w:hyperlink r:id="rId15" w:anchor="'poznamky_explanatory notes'!A1" w:history="1">
              <w:r w:rsidR="005A0824">
                <w:rPr>
                  <w:rFonts w:ascii="Calibri" w:eastAsia="Times New Roman" w:hAnsi="Calibri" w:cs="Times New Roman"/>
                  <w:lang w:eastAsia="sk-SK"/>
                </w:rPr>
                <w:t xml:space="preserve">OCA4. Hyperlink na záznam osoby v Registri zamestnancov vysokých škôl / Hyperlink to the entry of the person in the Register of university staff </w:t>
              </w:r>
            </w:hyperlink>
            <w:r w:rsidR="005A0824">
              <w:rPr>
                <w:rStyle w:val="Odkaznapoznmkupodiarou"/>
                <w:rFonts w:ascii="Calibri" w:eastAsia="Times New Roman" w:hAnsi="Calibri" w:cs="Times New Roman"/>
                <w:lang w:eastAsia="sk-SK"/>
              </w:rPr>
              <w:footnoteReference w:id="3"/>
            </w:r>
          </w:p>
        </w:tc>
        <w:tc>
          <w:tcPr>
            <w:tcW w:w="0" w:type="auto"/>
            <w:shd w:val="clear" w:color="auto" w:fill="auto"/>
          </w:tcPr>
          <w:p w14:paraId="21D2AC61" w14:textId="77777777" w:rsidR="00043FF0" w:rsidRDefault="005A0824">
            <w:pPr>
              <w:rPr>
                <w:rFonts w:ascii="Calibri" w:eastAsia="Times New Roman" w:hAnsi="Calibri" w:cs="Times New Roman"/>
                <w:lang w:eastAsia="sk-SK"/>
              </w:rPr>
            </w:pPr>
            <w:r>
              <w:rPr>
                <w:rStyle w:val="spellingerror"/>
                <w:rFonts w:ascii="Calibri" w:hAnsi="Calibri"/>
                <w:iCs/>
              </w:rPr>
              <w:t>https://www.portalvs.sk/regzam/detail/8756</w:t>
            </w:r>
          </w:p>
        </w:tc>
      </w:tr>
      <w:tr w:rsidR="00043FF0" w14:paraId="3E781784" w14:textId="77777777">
        <w:trPr>
          <w:trHeight w:val="300"/>
        </w:trPr>
        <w:tc>
          <w:tcPr>
            <w:tcW w:w="0" w:type="auto"/>
            <w:shd w:val="clear" w:color="auto" w:fill="auto"/>
            <w:vAlign w:val="bottom"/>
          </w:tcPr>
          <w:p w14:paraId="6A573648" w14:textId="77777777" w:rsidR="00043FF0" w:rsidRDefault="00043FF0">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tcPr>
          <w:p w14:paraId="2ECA45AB" w14:textId="77777777" w:rsidR="00043FF0" w:rsidRDefault="006A4D7B">
            <w:pPr>
              <w:spacing w:after="0" w:line="240" w:lineRule="auto"/>
              <w:rPr>
                <w:rFonts w:ascii="Calibri" w:eastAsia="Times New Roman" w:hAnsi="Calibri" w:cs="Times New Roman"/>
                <w:lang w:eastAsia="sk-SK"/>
              </w:rPr>
            </w:pPr>
            <w:hyperlink r:id="rId16" w:anchor="'poznamky_explanatory notes'!A1" w:history="1">
              <w:r w:rsidR="005A0824">
                <w:rPr>
                  <w:rFonts w:ascii="Calibri" w:eastAsia="Times New Roman" w:hAnsi="Calibri" w:cs="Times New Roman"/>
                  <w:lang w:eastAsia="sk-SK"/>
                </w:rPr>
                <w:t xml:space="preserve">OCA5. </w:t>
              </w:r>
              <w:r w:rsidR="005A0824">
                <w:rPr>
                  <w:rFonts w:ascii="Calibri" w:eastAsia="Times New Roman" w:hAnsi="Calibri" w:cs="Times New Roman"/>
                  <w:b/>
                  <w:lang w:eastAsia="sk-SK"/>
                </w:rPr>
                <w:t>Oblasť posudzovania</w:t>
              </w:r>
              <w:r w:rsidR="005A0824">
                <w:rPr>
                  <w:rFonts w:ascii="Calibri" w:eastAsia="Times New Roman" w:hAnsi="Calibri" w:cs="Times New Roman"/>
                  <w:lang w:eastAsia="sk-SK"/>
                </w:rPr>
                <w:t xml:space="preserve"> / Area of assessment </w:t>
              </w:r>
            </w:hyperlink>
            <w:r w:rsidR="005A0824">
              <w:rPr>
                <w:rStyle w:val="Odkaznapoznmkupodiarou"/>
                <w:rFonts w:ascii="Calibri" w:eastAsia="Times New Roman" w:hAnsi="Calibri" w:cs="Times New Roman"/>
                <w:lang w:eastAsia="sk-SK"/>
              </w:rPr>
              <w:footnoteReference w:id="4"/>
            </w:r>
          </w:p>
        </w:tc>
        <w:tc>
          <w:tcPr>
            <w:tcW w:w="0" w:type="auto"/>
            <w:shd w:val="clear" w:color="auto" w:fill="auto"/>
          </w:tcPr>
          <w:p w14:paraId="3916E5BB" w14:textId="0D40F0F1" w:rsidR="00043FF0" w:rsidRDefault="006A4D7B">
            <w:pPr>
              <w:spacing w:after="0" w:line="240" w:lineRule="auto"/>
              <w:rPr>
                <w:rFonts w:ascii="Calibri" w:eastAsia="Times New Roman" w:hAnsi="Calibri" w:cs="Times New Roman"/>
                <w:color w:val="FF0000"/>
                <w:lang w:eastAsia="sk-SK"/>
              </w:rPr>
            </w:pPr>
            <w:r w:rsidRPr="006A4D7B">
              <w:t xml:space="preserve">Študijný program Trestné právo - 3. stupeň / </w:t>
            </w:r>
            <w:r w:rsidRPr="006A4D7B">
              <w:rPr>
                <w:lang w:val="en"/>
              </w:rPr>
              <w:t>3</w:t>
            </w:r>
            <w:r w:rsidRPr="006A4D7B">
              <w:t>rd degree study program - "Criminal Law" / Odbor habilitačného a inauguračného konania: Trestné právo / The field of the habilitation procedure and inaugural procedure: "Criminal law"</w:t>
            </w:r>
          </w:p>
        </w:tc>
      </w:tr>
      <w:tr w:rsidR="00043FF0" w14:paraId="4F65618E" w14:textId="77777777">
        <w:trPr>
          <w:trHeight w:val="300"/>
        </w:trPr>
        <w:tc>
          <w:tcPr>
            <w:tcW w:w="0" w:type="auto"/>
            <w:shd w:val="clear" w:color="auto" w:fill="auto"/>
            <w:vAlign w:val="bottom"/>
          </w:tcPr>
          <w:p w14:paraId="202B01F7" w14:textId="77777777" w:rsidR="00043FF0" w:rsidRDefault="00043FF0">
            <w:pPr>
              <w:spacing w:after="0" w:line="240" w:lineRule="auto"/>
              <w:rPr>
                <w:rFonts w:ascii="Calibri" w:eastAsia="Times New Roman" w:hAnsi="Calibri" w:cs="Times New Roman"/>
                <w:color w:val="000000"/>
                <w:lang w:eastAsia="sk-SK"/>
              </w:rPr>
            </w:pPr>
          </w:p>
        </w:tc>
        <w:tc>
          <w:tcPr>
            <w:tcW w:w="0" w:type="auto"/>
            <w:gridSpan w:val="2"/>
            <w:shd w:val="clear" w:color="auto" w:fill="auto"/>
            <w:vAlign w:val="center"/>
          </w:tcPr>
          <w:p w14:paraId="2CF7207F" w14:textId="77777777" w:rsidR="00043FF0" w:rsidRDefault="005A0824">
            <w:pPr>
              <w:spacing w:after="0" w:line="240" w:lineRule="auto"/>
            </w:pPr>
            <w:r>
              <w:rPr>
                <w:b/>
              </w:rPr>
              <w:t>Zaradenie (PF TU)</w:t>
            </w:r>
          </w:p>
        </w:tc>
        <w:tc>
          <w:tcPr>
            <w:tcW w:w="0" w:type="auto"/>
            <w:shd w:val="clear" w:color="auto" w:fill="auto"/>
          </w:tcPr>
          <w:p w14:paraId="1FA671B8" w14:textId="77777777" w:rsidR="00043FF0" w:rsidRDefault="005A0824">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A</w:t>
            </w:r>
            <w:r w:rsidR="00B64BE9">
              <w:rPr>
                <w:rFonts w:ascii="Calibri" w:eastAsia="Times New Roman" w:hAnsi="Calibri" w:cs="Times New Roman"/>
                <w:color w:val="000000"/>
                <w:lang w:eastAsia="sk-SK"/>
              </w:rPr>
              <w:t>+</w:t>
            </w:r>
          </w:p>
        </w:tc>
      </w:tr>
      <w:tr w:rsidR="00043FF0" w14:paraId="65426208" w14:textId="77777777">
        <w:trPr>
          <w:trHeight w:val="660"/>
        </w:trPr>
        <w:tc>
          <w:tcPr>
            <w:tcW w:w="0" w:type="auto"/>
            <w:shd w:val="clear" w:color="auto" w:fill="auto"/>
            <w:vAlign w:val="bottom"/>
          </w:tcPr>
          <w:p w14:paraId="7F5C69E3" w14:textId="77777777" w:rsidR="00043FF0" w:rsidRDefault="00043FF0">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tcPr>
          <w:p w14:paraId="1757197C" w14:textId="77777777" w:rsidR="00043FF0" w:rsidRDefault="006A4D7B">
            <w:pPr>
              <w:spacing w:after="0" w:line="240" w:lineRule="auto"/>
              <w:rPr>
                <w:rFonts w:ascii="Calibri" w:eastAsia="Times New Roman" w:hAnsi="Calibri" w:cs="Times New Roman"/>
                <w:i/>
                <w:iCs/>
                <w:color w:val="808080"/>
                <w:lang w:eastAsia="sk-SK"/>
              </w:rPr>
            </w:pPr>
            <w:hyperlink r:id="rId17" w:anchor="Expl.OCA6!A1" w:history="1">
              <w:r w:rsidR="005A0824">
                <w:rPr>
                  <w:rFonts w:ascii="Calibri" w:eastAsia="Times New Roman" w:hAnsi="Calibri" w:cs="Times New Roman"/>
                  <w:lang w:eastAsia="sk-SK"/>
                </w:rPr>
                <w:t xml:space="preserve">OCA6. </w:t>
              </w:r>
              <w:r w:rsidR="005A0824">
                <w:rPr>
                  <w:rFonts w:ascii="Calibri" w:eastAsia="Times New Roman" w:hAnsi="Calibri" w:cs="Times New Roman"/>
                  <w:b/>
                  <w:lang w:eastAsia="sk-SK"/>
                </w:rPr>
                <w:t>Kategória výstupu tvorivej činnosti</w:t>
              </w:r>
              <w:r w:rsidR="005A0824">
                <w:rPr>
                  <w:rFonts w:ascii="Calibri" w:eastAsia="Times New Roman" w:hAnsi="Calibri" w:cs="Times New Roman"/>
                  <w:lang w:eastAsia="sk-SK"/>
                </w:rPr>
                <w:t xml:space="preserve"> / Category of the research/ artistic/other output </w:t>
              </w:r>
              <w:r w:rsidR="005A0824">
                <w:rPr>
                  <w:rFonts w:ascii="Calibri" w:eastAsia="Times New Roman" w:hAnsi="Calibri" w:cs="Times New Roman"/>
                  <w:lang w:eastAsia="sk-SK"/>
                </w:rPr>
                <w:br/>
              </w:r>
              <w:r w:rsidR="005A0824">
                <w:rPr>
                  <w:rFonts w:ascii="Calibri" w:eastAsia="Times New Roman" w:hAnsi="Calibri" w:cs="Times New Roman"/>
                  <w:i/>
                  <w:iCs/>
                  <w:color w:val="808080"/>
                  <w:lang w:eastAsia="sk-SK"/>
                </w:rPr>
                <w:t xml:space="preserve">Výber zo 6 možností / Choice from 6 options. </w:t>
              </w:r>
            </w:hyperlink>
          </w:p>
          <w:p w14:paraId="037972CE" w14:textId="77777777" w:rsidR="00043FF0" w:rsidRDefault="005A0824">
            <w:pPr>
              <w:spacing w:after="0" w:line="240" w:lineRule="auto"/>
              <w:rPr>
                <w:rFonts w:ascii="Calibri" w:eastAsia="Times New Roman" w:hAnsi="Calibri" w:cs="Times New Roman"/>
                <w:lang w:eastAsia="sk-SK"/>
              </w:rPr>
            </w:pPr>
            <w:r>
              <w:rPr>
                <w:rFonts w:ascii="Calibri" w:eastAsia="Times New Roman" w:hAnsi="Calibri" w:cs="Times New Roman"/>
                <w:b/>
                <w:color w:val="000000"/>
                <w:sz w:val="16"/>
                <w:szCs w:val="16"/>
                <w:lang w:eastAsia="sk-SK"/>
              </w:rPr>
              <w:lastRenderedPageBreak/>
              <w:t>vedecký výstup</w:t>
            </w:r>
            <w:r>
              <w:rPr>
                <w:rFonts w:ascii="Calibri" w:eastAsia="Times New Roman" w:hAnsi="Calibri" w:cs="Times New Roman"/>
                <w:color w:val="000000"/>
                <w:sz w:val="16"/>
                <w:szCs w:val="16"/>
                <w:lang w:eastAsia="sk-SK"/>
              </w:rPr>
              <w:t xml:space="preserve"> / scientific output, </w:t>
            </w:r>
            <w:r>
              <w:rPr>
                <w:rFonts w:ascii="Calibri" w:eastAsia="Times New Roman" w:hAnsi="Calibri" w:cs="Times New Roman"/>
                <w:b/>
                <w:color w:val="000000"/>
                <w:sz w:val="16"/>
                <w:szCs w:val="16"/>
                <w:lang w:eastAsia="sk-SK"/>
              </w:rPr>
              <w:t>odborný výstup</w:t>
            </w:r>
            <w:r>
              <w:rPr>
                <w:rFonts w:ascii="Calibri" w:eastAsia="Times New Roman" w:hAnsi="Calibri" w:cs="Times New Roman"/>
                <w:color w:val="000000"/>
                <w:sz w:val="16"/>
                <w:szCs w:val="16"/>
                <w:lang w:eastAsia="sk-SK"/>
              </w:rPr>
              <w:t xml:space="preserve"> / professional output, </w:t>
            </w:r>
            <w:r>
              <w:rPr>
                <w:rFonts w:ascii="Calibri" w:eastAsia="Times New Roman" w:hAnsi="Calibri" w:cs="Times New Roman"/>
                <w:b/>
                <w:color w:val="000000"/>
                <w:sz w:val="16"/>
                <w:szCs w:val="16"/>
                <w:lang w:eastAsia="sk-SK"/>
              </w:rPr>
              <w:t>pedagogický výstup</w:t>
            </w:r>
            <w:r>
              <w:rPr>
                <w:rFonts w:ascii="Calibri" w:eastAsia="Times New Roman" w:hAnsi="Calibri" w:cs="Times New Roman"/>
                <w:color w:val="000000"/>
                <w:sz w:val="16"/>
                <w:szCs w:val="16"/>
                <w:lang w:eastAsia="sk-SK"/>
              </w:rPr>
              <w:t xml:space="preserve"> / pedagogical output, </w:t>
            </w:r>
            <w:r>
              <w:rPr>
                <w:rFonts w:ascii="Calibri" w:eastAsia="Times New Roman" w:hAnsi="Calibri" w:cs="Times New Roman"/>
                <w:b/>
                <w:color w:val="000000"/>
                <w:sz w:val="16"/>
                <w:szCs w:val="16"/>
                <w:lang w:eastAsia="sk-SK"/>
              </w:rPr>
              <w:t>umelecký výstup</w:t>
            </w:r>
            <w:r>
              <w:rPr>
                <w:rFonts w:ascii="Calibri" w:eastAsia="Times New Roman" w:hAnsi="Calibri" w:cs="Times New Roman"/>
                <w:color w:val="000000"/>
                <w:sz w:val="16"/>
                <w:szCs w:val="16"/>
                <w:lang w:eastAsia="sk-SK"/>
              </w:rPr>
              <w:t xml:space="preserve"> / artistic output,  dokument práv duševného vlastníctva a norma / intellectual property rights document and standard, </w:t>
            </w:r>
            <w:r>
              <w:rPr>
                <w:rFonts w:ascii="Calibri" w:eastAsia="Times New Roman" w:hAnsi="Calibri" w:cs="Times New Roman"/>
                <w:b/>
                <w:color w:val="000000"/>
                <w:sz w:val="16"/>
                <w:szCs w:val="16"/>
                <w:lang w:eastAsia="sk-SK"/>
              </w:rPr>
              <w:t>iný výstup</w:t>
            </w:r>
            <w:r>
              <w:rPr>
                <w:rFonts w:ascii="Calibri" w:eastAsia="Times New Roman" w:hAnsi="Calibri" w:cs="Times New Roman"/>
                <w:color w:val="000000"/>
                <w:sz w:val="16"/>
                <w:szCs w:val="16"/>
                <w:lang w:eastAsia="sk-SK"/>
              </w:rPr>
              <w:t xml:space="preserve"> / other output</w:t>
            </w:r>
          </w:p>
        </w:tc>
        <w:tc>
          <w:tcPr>
            <w:tcW w:w="0" w:type="auto"/>
            <w:shd w:val="clear" w:color="auto" w:fill="auto"/>
          </w:tcPr>
          <w:p w14:paraId="65360A9F" w14:textId="77777777" w:rsidR="00043FF0" w:rsidRDefault="005A0824">
            <w:pPr>
              <w:spacing w:after="0" w:line="240" w:lineRule="auto"/>
              <w:rPr>
                <w:rFonts w:ascii="Calibri" w:eastAsia="Times New Roman" w:hAnsi="Calibri" w:cs="Times New Roman"/>
                <w:iCs/>
                <w:color w:val="00B0F0"/>
                <w:lang w:eastAsia="sk-SK"/>
              </w:rPr>
            </w:pPr>
            <w:r>
              <w:rPr>
                <w:rFonts w:ascii="Calibri" w:eastAsia="Times New Roman" w:hAnsi="Calibri" w:cs="Times New Roman"/>
                <w:iCs/>
                <w:lang w:eastAsia="sk-SK"/>
              </w:rPr>
              <w:lastRenderedPageBreak/>
              <w:t>vedecký výstup / scientific output</w:t>
            </w:r>
          </w:p>
        </w:tc>
      </w:tr>
      <w:tr w:rsidR="00043FF0" w14:paraId="084D3633" w14:textId="77777777">
        <w:trPr>
          <w:trHeight w:val="510"/>
        </w:trPr>
        <w:tc>
          <w:tcPr>
            <w:tcW w:w="0" w:type="auto"/>
            <w:shd w:val="clear" w:color="auto" w:fill="auto"/>
            <w:vAlign w:val="bottom"/>
          </w:tcPr>
          <w:p w14:paraId="3EB7B8CE" w14:textId="77777777" w:rsidR="00043FF0" w:rsidRDefault="00043FF0">
            <w:pPr>
              <w:spacing w:after="0" w:line="240" w:lineRule="auto"/>
              <w:rPr>
                <w:rFonts w:ascii="Calibri" w:eastAsia="Times New Roman" w:hAnsi="Calibri" w:cs="Times New Roman"/>
                <w:i/>
                <w:iCs/>
                <w:color w:val="000000"/>
                <w:lang w:eastAsia="sk-SK"/>
              </w:rPr>
            </w:pPr>
          </w:p>
        </w:tc>
        <w:tc>
          <w:tcPr>
            <w:tcW w:w="0" w:type="auto"/>
            <w:gridSpan w:val="2"/>
            <w:shd w:val="clear" w:color="FBE5D6" w:fill="DAE3F3"/>
            <w:vAlign w:val="center"/>
          </w:tcPr>
          <w:p w14:paraId="29397FE5" w14:textId="77777777" w:rsidR="00043FF0" w:rsidRDefault="005A0824">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OCA7. </w:t>
            </w:r>
            <w:r>
              <w:rPr>
                <w:rFonts w:ascii="Calibri" w:eastAsia="Times New Roman" w:hAnsi="Calibri" w:cs="Times New Roman"/>
                <w:b/>
                <w:color w:val="000000"/>
                <w:lang w:eastAsia="sk-SK"/>
              </w:rPr>
              <w:t>Rok vydania výstupu tvorivej činnosti</w:t>
            </w:r>
            <w:r>
              <w:rPr>
                <w:rFonts w:ascii="Calibri" w:eastAsia="Times New Roman" w:hAnsi="Calibri" w:cs="Times New Roman"/>
                <w:color w:val="000000"/>
                <w:lang w:eastAsia="sk-SK"/>
              </w:rPr>
              <w:t xml:space="preserve"> / Year of publication of the research/artistic/other output</w:t>
            </w:r>
          </w:p>
        </w:tc>
        <w:tc>
          <w:tcPr>
            <w:tcW w:w="0" w:type="auto"/>
            <w:shd w:val="clear" w:color="auto" w:fill="auto"/>
          </w:tcPr>
          <w:p w14:paraId="1DEC2B7E" w14:textId="77777777" w:rsidR="00043FF0" w:rsidRDefault="005A0824">
            <w:pPr>
              <w:spacing w:after="0" w:line="240" w:lineRule="auto"/>
              <w:rPr>
                <w:rFonts w:ascii="Calibri" w:eastAsia="Times New Roman" w:hAnsi="Calibri" w:cs="Times New Roman"/>
                <w:color w:val="000000"/>
                <w:lang w:val="en-US" w:eastAsia="sk-SK"/>
              </w:rPr>
            </w:pPr>
            <w:r>
              <w:rPr>
                <w:rFonts w:ascii="Calibri" w:eastAsia="Times New Roman" w:hAnsi="Calibri" w:cs="Times New Roman"/>
                <w:color w:val="FF0000"/>
                <w:lang w:eastAsia="sk-SK"/>
              </w:rPr>
              <w:t> </w:t>
            </w:r>
            <w:r>
              <w:rPr>
                <w:rFonts w:ascii="Calibri" w:eastAsia="Times New Roman" w:hAnsi="Calibri" w:cs="Times New Roman"/>
                <w:lang w:eastAsia="sk-SK"/>
              </w:rPr>
              <w:t>201</w:t>
            </w:r>
            <w:r>
              <w:rPr>
                <w:rFonts w:ascii="Calibri" w:eastAsia="Times New Roman" w:hAnsi="Calibri" w:cs="Times New Roman"/>
                <w:lang w:val="en-US" w:eastAsia="sk-SK"/>
              </w:rPr>
              <w:t>7</w:t>
            </w:r>
          </w:p>
        </w:tc>
      </w:tr>
      <w:tr w:rsidR="00043FF0" w14:paraId="5D171FD2" w14:textId="77777777">
        <w:trPr>
          <w:trHeight w:val="660"/>
        </w:trPr>
        <w:tc>
          <w:tcPr>
            <w:tcW w:w="0" w:type="auto"/>
            <w:shd w:val="clear" w:color="auto" w:fill="auto"/>
            <w:vAlign w:val="bottom"/>
          </w:tcPr>
          <w:p w14:paraId="15250990" w14:textId="77777777" w:rsidR="00043FF0" w:rsidRDefault="00043FF0">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tcPr>
          <w:p w14:paraId="48EC9448" w14:textId="77777777" w:rsidR="00043FF0" w:rsidRDefault="006A4D7B">
            <w:pPr>
              <w:spacing w:after="0" w:line="240" w:lineRule="auto"/>
              <w:rPr>
                <w:rFonts w:ascii="Calibri" w:eastAsia="Times New Roman" w:hAnsi="Calibri" w:cs="Times New Roman"/>
                <w:lang w:eastAsia="sk-SK"/>
              </w:rPr>
            </w:pPr>
            <w:hyperlink r:id="rId18" w:anchor="'poznamky_explanatory notes'!A1" w:history="1">
              <w:r w:rsidR="005A0824">
                <w:rPr>
                  <w:rFonts w:ascii="Calibri" w:eastAsia="Times New Roman" w:hAnsi="Calibri" w:cs="Times New Roman"/>
                  <w:lang w:eastAsia="sk-SK"/>
                </w:rPr>
                <w:t xml:space="preserve">OCA8. </w:t>
              </w:r>
              <w:r w:rsidR="005A0824">
                <w:rPr>
                  <w:rFonts w:ascii="Calibri" w:eastAsia="Times New Roman" w:hAnsi="Calibri" w:cs="Times New Roman"/>
                  <w:b/>
                  <w:lang w:eastAsia="sk-SK"/>
                </w:rPr>
                <w:t>ID záznamu v CREPČ alebo CREUČ</w:t>
              </w:r>
              <w:r w:rsidR="005A0824">
                <w:rPr>
                  <w:rFonts w:ascii="Calibri" w:eastAsia="Times New Roman" w:hAnsi="Calibri" w:cs="Times New Roman"/>
                  <w:lang w:eastAsia="sk-SK"/>
                </w:rPr>
                <w:t xml:space="preserve"> </w:t>
              </w:r>
              <w:r w:rsidR="005A0824">
                <w:rPr>
                  <w:rFonts w:ascii="Calibri" w:eastAsia="Times New Roman" w:hAnsi="Calibri" w:cs="Times New Roman"/>
                  <w:i/>
                  <w:iCs/>
                  <w:lang w:eastAsia="sk-SK"/>
                </w:rPr>
                <w:t>(ak je)</w:t>
              </w:r>
              <w:r w:rsidR="005A0824">
                <w:rPr>
                  <w:rFonts w:ascii="Calibri" w:eastAsia="Times New Roman" w:hAnsi="Calibri" w:cs="Times New Roman"/>
                  <w:lang w:eastAsia="sk-SK"/>
                </w:rPr>
                <w:t xml:space="preserve"> / ID of the record in the Central Registry of Publication Activity (CRPA) or the Central Registry of Artistic Activity (CRAA)</w:t>
              </w:r>
            </w:hyperlink>
            <w:r w:rsidR="005A0824">
              <w:rPr>
                <w:rStyle w:val="Odkaznapoznmkupodiarou"/>
                <w:rFonts w:ascii="Calibri" w:eastAsia="Times New Roman" w:hAnsi="Calibri" w:cs="Times New Roman"/>
                <w:lang w:eastAsia="sk-SK"/>
              </w:rPr>
              <w:footnoteReference w:id="5"/>
            </w:r>
          </w:p>
        </w:tc>
        <w:tc>
          <w:tcPr>
            <w:tcW w:w="0" w:type="auto"/>
            <w:shd w:val="clear" w:color="auto" w:fill="auto"/>
          </w:tcPr>
          <w:p w14:paraId="4BB7968B" w14:textId="77777777" w:rsidR="00043FF0" w:rsidRPr="00B64BE9" w:rsidRDefault="00B64BE9" w:rsidP="00B64BE9">
            <w:pPr>
              <w:spacing w:before="100" w:beforeAutospacing="1" w:after="100" w:afterAutospacing="1" w:line="240" w:lineRule="auto"/>
              <w:outlineLvl w:val="2"/>
              <w:rPr>
                <w:rFonts w:eastAsia="Times New Roman" w:cstheme="minorHAnsi"/>
                <w:color w:val="FF0000"/>
                <w:lang w:eastAsia="sk-SK"/>
              </w:rPr>
            </w:pPr>
            <w:r w:rsidRPr="00B64BE9">
              <w:rPr>
                <w:rFonts w:eastAsia="Times New Roman" w:cstheme="minorHAnsi"/>
                <w:bCs/>
                <w:lang w:eastAsia="sk-SK"/>
              </w:rPr>
              <w:t>ID = 210722</w:t>
            </w:r>
            <w:r w:rsidRPr="00B64BE9">
              <w:rPr>
                <w:rFonts w:eastAsia="Times New Roman" w:cstheme="minorHAnsi"/>
                <w:b/>
                <w:bCs/>
                <w:lang w:eastAsia="sk-SK"/>
              </w:rPr>
              <w:t xml:space="preserve"> </w:t>
            </w:r>
            <w:r w:rsidR="005A0824" w:rsidRPr="00B64BE9">
              <w:rPr>
                <w:rFonts w:eastAsia="SimSun" w:cstheme="minorHAnsi"/>
                <w:b/>
                <w:bCs/>
              </w:rPr>
              <w:t>Princípy správneho trestania</w:t>
            </w:r>
            <w:r w:rsidR="005A0824" w:rsidRPr="00B64BE9">
              <w:rPr>
                <w:rFonts w:eastAsia="SimSun" w:cstheme="minorHAnsi"/>
              </w:rPr>
              <w:t xml:space="preserve"> / Soňa Košičiarová ; [recenze: Jozef Čentéš, Ida Hanzelová]. - [1. vyd.]. - Plzeň : Vydavatelství a nakladatelství Aleš Čeněk, 2017. - 357 s. - (Slovenské monografie). - ISBN 978-80-7380-696-5.</w:t>
            </w:r>
          </w:p>
        </w:tc>
      </w:tr>
      <w:tr w:rsidR="00043FF0" w14:paraId="4E1D833F" w14:textId="77777777">
        <w:trPr>
          <w:trHeight w:val="525"/>
        </w:trPr>
        <w:tc>
          <w:tcPr>
            <w:tcW w:w="0" w:type="auto"/>
            <w:shd w:val="clear" w:color="auto" w:fill="auto"/>
            <w:vAlign w:val="bottom"/>
          </w:tcPr>
          <w:p w14:paraId="5B2CA683" w14:textId="77777777" w:rsidR="00043FF0" w:rsidRDefault="00043FF0">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tcPr>
          <w:p w14:paraId="5AFCC6A8" w14:textId="77777777" w:rsidR="00043FF0" w:rsidRDefault="006A4D7B">
            <w:pPr>
              <w:spacing w:after="0" w:line="240" w:lineRule="auto"/>
              <w:rPr>
                <w:rFonts w:ascii="Calibri" w:eastAsia="Times New Roman" w:hAnsi="Calibri" w:cs="Times New Roman"/>
                <w:lang w:eastAsia="sk-SK"/>
              </w:rPr>
            </w:pPr>
            <w:hyperlink r:id="rId19" w:anchor="'poznamky_explanatory notes'!A1" w:history="1">
              <w:r w:rsidR="005A0824">
                <w:rPr>
                  <w:rFonts w:ascii="Calibri" w:eastAsia="Times New Roman" w:hAnsi="Calibri" w:cs="Times New Roman"/>
                  <w:lang w:eastAsia="sk-SK"/>
                </w:rPr>
                <w:t xml:space="preserve">OCA9. </w:t>
              </w:r>
              <w:r w:rsidR="005A0824">
                <w:rPr>
                  <w:rFonts w:ascii="Calibri" w:eastAsia="Times New Roman" w:hAnsi="Calibri" w:cs="Times New Roman"/>
                  <w:b/>
                  <w:lang w:eastAsia="sk-SK"/>
                </w:rPr>
                <w:t>Hyperlink na záznam v CREPČ alebo CREUČ</w:t>
              </w:r>
              <w:r w:rsidR="005A0824">
                <w:rPr>
                  <w:rFonts w:ascii="Calibri" w:eastAsia="Times New Roman" w:hAnsi="Calibri" w:cs="Times New Roman"/>
                  <w:lang w:eastAsia="sk-SK"/>
                </w:rPr>
                <w:t xml:space="preserve"> / Hyperlink to the record in CRPA or CRAA </w:t>
              </w:r>
            </w:hyperlink>
            <w:r w:rsidR="005A0824">
              <w:rPr>
                <w:rStyle w:val="Odkaznapoznmkupodiarou"/>
                <w:rFonts w:ascii="Calibri" w:eastAsia="Times New Roman" w:hAnsi="Calibri" w:cs="Times New Roman"/>
                <w:lang w:eastAsia="sk-SK"/>
              </w:rPr>
              <w:footnoteReference w:id="6"/>
            </w:r>
          </w:p>
        </w:tc>
        <w:tc>
          <w:tcPr>
            <w:tcW w:w="0" w:type="auto"/>
            <w:shd w:val="clear" w:color="auto" w:fill="auto"/>
          </w:tcPr>
          <w:p w14:paraId="65E99C49" w14:textId="77777777" w:rsidR="00B64BE9" w:rsidRDefault="00B64BE9">
            <w:pPr>
              <w:spacing w:after="0" w:line="240" w:lineRule="auto"/>
              <w:rPr>
                <w:rFonts w:ascii="Calibri" w:eastAsia="Times New Roman" w:hAnsi="Calibri" w:cs="Times New Roman"/>
                <w:color w:val="000000"/>
                <w:lang w:eastAsia="sk-SK"/>
              </w:rPr>
            </w:pPr>
            <w:r>
              <w:t> </w:t>
            </w:r>
            <w:hyperlink r:id="rId20" w:tgtFrame="_blank" w:history="1">
              <w:r>
                <w:rPr>
                  <w:rStyle w:val="Hypertextovprepojenie"/>
                  <w:rFonts w:ascii="Helvetica" w:hAnsi="Helvetica" w:cs="Helvetica"/>
                  <w:sz w:val="20"/>
                  <w:szCs w:val="20"/>
                  <w:shd w:val="clear" w:color="auto" w:fill="F5F5F5"/>
                </w:rPr>
                <w:t>https://app.crepc.sk/?fn=detailBiblioForm&amp;sid=36B56AEA95B56E9F68E16E5F31</w:t>
              </w:r>
            </w:hyperlink>
          </w:p>
        </w:tc>
      </w:tr>
      <w:tr w:rsidR="00043FF0" w14:paraId="4E91A746" w14:textId="77777777">
        <w:trPr>
          <w:trHeight w:val="525"/>
        </w:trPr>
        <w:tc>
          <w:tcPr>
            <w:tcW w:w="0" w:type="auto"/>
            <w:shd w:val="clear" w:color="auto" w:fill="auto"/>
            <w:vAlign w:val="bottom"/>
          </w:tcPr>
          <w:p w14:paraId="5D40E2D9" w14:textId="77777777" w:rsidR="00043FF0" w:rsidRDefault="00043FF0">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tcPr>
          <w:p w14:paraId="1D4B8C4E" w14:textId="77777777" w:rsidR="00043FF0" w:rsidRDefault="00043FF0">
            <w:pPr>
              <w:spacing w:after="0" w:line="240" w:lineRule="auto"/>
            </w:pPr>
          </w:p>
        </w:tc>
        <w:tc>
          <w:tcPr>
            <w:tcW w:w="0" w:type="auto"/>
            <w:shd w:val="clear" w:color="auto" w:fill="auto"/>
          </w:tcPr>
          <w:p w14:paraId="76524E45" w14:textId="77777777" w:rsidR="00043FF0" w:rsidRDefault="00043FF0">
            <w:pPr>
              <w:spacing w:after="0" w:line="240" w:lineRule="auto"/>
              <w:rPr>
                <w:rFonts w:ascii="Calibri" w:eastAsia="Times New Roman" w:hAnsi="Calibri" w:cs="Times New Roman"/>
                <w:color w:val="000000"/>
                <w:lang w:eastAsia="sk-SK"/>
              </w:rPr>
            </w:pPr>
          </w:p>
        </w:tc>
      </w:tr>
      <w:tr w:rsidR="00043FF0" w14:paraId="07983A8A" w14:textId="77777777">
        <w:trPr>
          <w:trHeight w:val="1065"/>
        </w:trPr>
        <w:tc>
          <w:tcPr>
            <w:tcW w:w="0" w:type="auto"/>
            <w:shd w:val="clear" w:color="auto" w:fill="auto"/>
            <w:vAlign w:val="bottom"/>
          </w:tcPr>
          <w:p w14:paraId="44CB0C29" w14:textId="77777777" w:rsidR="00043FF0" w:rsidRDefault="00043FF0">
            <w:pPr>
              <w:spacing w:after="0" w:line="240" w:lineRule="auto"/>
              <w:rPr>
                <w:rFonts w:ascii="Calibri" w:eastAsia="Times New Roman" w:hAnsi="Calibri" w:cs="Times New Roman"/>
                <w:color w:val="000000"/>
                <w:lang w:eastAsia="sk-SK"/>
              </w:rPr>
            </w:pPr>
          </w:p>
        </w:tc>
        <w:tc>
          <w:tcPr>
            <w:tcW w:w="0" w:type="auto"/>
            <w:vMerge w:val="restart"/>
            <w:shd w:val="clear" w:color="FBE5D6" w:fill="DAE3F3"/>
            <w:textDirection w:val="btLr"/>
            <w:vAlign w:val="center"/>
          </w:tcPr>
          <w:p w14:paraId="3C9E51AB" w14:textId="77777777" w:rsidR="00043FF0" w:rsidRDefault="005A0824">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Charakteristika výstupu, ktorý nie je registrovaný v CREPČ alebo CREUČ / Characteristics of the output that is not registered in CRPA or CRAA</w:t>
            </w:r>
          </w:p>
        </w:tc>
        <w:tc>
          <w:tcPr>
            <w:tcW w:w="0" w:type="auto"/>
            <w:shd w:val="clear" w:color="000000" w:fill="D9E1F2"/>
            <w:vAlign w:val="center"/>
          </w:tcPr>
          <w:p w14:paraId="20AFDF9F" w14:textId="77777777" w:rsidR="00043FF0" w:rsidRDefault="006A4D7B">
            <w:pPr>
              <w:spacing w:after="0" w:line="240" w:lineRule="auto"/>
              <w:rPr>
                <w:rFonts w:ascii="Calibri" w:eastAsia="Times New Roman" w:hAnsi="Calibri" w:cs="Times New Roman"/>
                <w:lang w:eastAsia="sk-SK"/>
              </w:rPr>
            </w:pPr>
            <w:hyperlink r:id="rId21" w:anchor="'poznamky_explanatory notes'!A1" w:history="1">
              <w:r w:rsidR="005A0824">
                <w:rPr>
                  <w:rFonts w:ascii="Calibri" w:eastAsia="Times New Roman" w:hAnsi="Calibri" w:cs="Times New Roman"/>
                  <w:lang w:eastAsia="sk-SK"/>
                </w:rPr>
                <w:t xml:space="preserve">OCA10. </w:t>
              </w:r>
              <w:r w:rsidR="005A0824">
                <w:rPr>
                  <w:rFonts w:ascii="Calibri" w:eastAsia="Times New Roman" w:hAnsi="Calibri" w:cs="Times New Roman"/>
                  <w:b/>
                  <w:lang w:eastAsia="sk-SK"/>
                </w:rPr>
                <w:t>Hyperlink na záznam v inom verejne prístupnom registri</w:t>
              </w:r>
              <w:r w:rsidR="005A0824">
                <w:rPr>
                  <w:rFonts w:ascii="Calibri" w:eastAsia="Times New Roman" w:hAnsi="Calibri" w:cs="Times New Roman"/>
                  <w:lang w:eastAsia="sk-SK"/>
                </w:rPr>
                <w:t xml:space="preserve">, katalógu výstupov tvorivých činností / Hyperlink to the record in another publicly accessible register, catalogue of research/ artistic/other outputs </w:t>
              </w:r>
            </w:hyperlink>
            <w:r w:rsidR="005A0824">
              <w:rPr>
                <w:rStyle w:val="Odkaznapoznmkupodiarou"/>
                <w:rFonts w:ascii="Calibri" w:eastAsia="Times New Roman" w:hAnsi="Calibri" w:cs="Times New Roman"/>
                <w:lang w:eastAsia="sk-SK"/>
              </w:rPr>
              <w:footnoteReference w:id="7"/>
            </w:r>
          </w:p>
        </w:tc>
        <w:tc>
          <w:tcPr>
            <w:tcW w:w="0" w:type="auto"/>
            <w:shd w:val="clear" w:color="auto" w:fill="auto"/>
          </w:tcPr>
          <w:p w14:paraId="4609F8BD" w14:textId="77777777" w:rsidR="00043FF0" w:rsidRDefault="005A0824">
            <w:pPr>
              <w:spacing w:after="0" w:line="240" w:lineRule="auto"/>
              <w:rPr>
                <w:rFonts w:ascii="Calibri" w:eastAsia="Times New Roman" w:hAnsi="Calibri" w:cs="Times New Roman"/>
                <w:lang w:val="en-US" w:eastAsia="sk-SK"/>
              </w:rPr>
            </w:pPr>
            <w:r>
              <w:rPr>
                <w:rFonts w:ascii="Calibri" w:eastAsia="Times New Roman" w:hAnsi="Calibri" w:cs="Times New Roman"/>
                <w:lang w:val="en-US" w:eastAsia="sk-SK"/>
              </w:rPr>
              <w:t>x</w:t>
            </w:r>
          </w:p>
        </w:tc>
      </w:tr>
      <w:tr w:rsidR="00043FF0" w14:paraId="29809CF3" w14:textId="77777777">
        <w:trPr>
          <w:trHeight w:val="1515"/>
        </w:trPr>
        <w:tc>
          <w:tcPr>
            <w:tcW w:w="0" w:type="auto"/>
            <w:shd w:val="clear" w:color="auto" w:fill="auto"/>
            <w:vAlign w:val="bottom"/>
          </w:tcPr>
          <w:p w14:paraId="760A655F" w14:textId="77777777" w:rsidR="00043FF0" w:rsidRDefault="00043FF0">
            <w:pPr>
              <w:spacing w:after="0" w:line="240" w:lineRule="auto"/>
              <w:rPr>
                <w:rFonts w:ascii="Calibri" w:eastAsia="Times New Roman" w:hAnsi="Calibri" w:cs="Times New Roman"/>
                <w:color w:val="000000"/>
                <w:lang w:eastAsia="sk-SK"/>
              </w:rPr>
            </w:pPr>
          </w:p>
        </w:tc>
        <w:tc>
          <w:tcPr>
            <w:tcW w:w="0" w:type="auto"/>
            <w:vMerge/>
            <w:vAlign w:val="center"/>
          </w:tcPr>
          <w:p w14:paraId="07DFD1EB" w14:textId="77777777" w:rsidR="00043FF0" w:rsidRDefault="00043FF0">
            <w:pPr>
              <w:spacing w:after="0" w:line="240" w:lineRule="auto"/>
              <w:rPr>
                <w:rFonts w:ascii="Calibri" w:eastAsia="Times New Roman" w:hAnsi="Calibri" w:cs="Times New Roman"/>
                <w:color w:val="000000"/>
                <w:lang w:eastAsia="sk-SK"/>
              </w:rPr>
            </w:pPr>
          </w:p>
        </w:tc>
        <w:tc>
          <w:tcPr>
            <w:tcW w:w="0" w:type="auto"/>
            <w:shd w:val="clear" w:color="FBE5D6" w:fill="DAE3F3"/>
            <w:vAlign w:val="center"/>
          </w:tcPr>
          <w:p w14:paraId="3084E722" w14:textId="77777777" w:rsidR="00043FF0" w:rsidRDefault="005A0824">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OCA11. Charakteristika výstupu vo formáte bibliografického záznamu CREPČ alebo CREUČ, ak výstup nie je vo verejne prístupnom registri alebo katalógu </w:t>
            </w:r>
            <w:r>
              <w:rPr>
                <w:rFonts w:ascii="Calibri" w:eastAsia="Times New Roman" w:hAnsi="Calibri" w:cs="Times New Roman"/>
                <w:color w:val="000000"/>
                <w:lang w:eastAsia="sk-SK"/>
              </w:rPr>
              <w:lastRenderedPageBreak/>
              <w:t>výstupov / Characteristics of the output in the format of the CRPA or the CRAA bibliographic record, if the output is not available in a publicly accessible register or catalogue of outputs</w:t>
            </w:r>
          </w:p>
        </w:tc>
        <w:tc>
          <w:tcPr>
            <w:tcW w:w="0" w:type="auto"/>
            <w:shd w:val="clear" w:color="auto" w:fill="auto"/>
          </w:tcPr>
          <w:p w14:paraId="75A3D71E" w14:textId="77777777" w:rsidR="00043FF0" w:rsidRDefault="005A0824">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lastRenderedPageBreak/>
              <w:t> x</w:t>
            </w:r>
          </w:p>
        </w:tc>
      </w:tr>
      <w:tr w:rsidR="00043FF0" w14:paraId="58107CE3" w14:textId="77777777">
        <w:trPr>
          <w:trHeight w:val="1290"/>
        </w:trPr>
        <w:tc>
          <w:tcPr>
            <w:tcW w:w="0" w:type="auto"/>
            <w:shd w:val="clear" w:color="auto" w:fill="auto"/>
            <w:vAlign w:val="bottom"/>
          </w:tcPr>
          <w:p w14:paraId="4611E447" w14:textId="77777777" w:rsidR="00043FF0" w:rsidRDefault="00043FF0">
            <w:pPr>
              <w:spacing w:after="0" w:line="240" w:lineRule="auto"/>
              <w:rPr>
                <w:rFonts w:ascii="Calibri" w:eastAsia="Times New Roman" w:hAnsi="Calibri" w:cs="Times New Roman"/>
                <w:color w:val="000000"/>
                <w:lang w:eastAsia="sk-SK"/>
              </w:rPr>
            </w:pPr>
          </w:p>
        </w:tc>
        <w:tc>
          <w:tcPr>
            <w:tcW w:w="0" w:type="auto"/>
            <w:vMerge/>
            <w:vAlign w:val="center"/>
          </w:tcPr>
          <w:p w14:paraId="376F5501" w14:textId="77777777" w:rsidR="00043FF0" w:rsidRDefault="00043FF0">
            <w:pPr>
              <w:spacing w:after="0" w:line="240" w:lineRule="auto"/>
              <w:rPr>
                <w:rFonts w:ascii="Calibri" w:eastAsia="Times New Roman" w:hAnsi="Calibri" w:cs="Times New Roman"/>
                <w:color w:val="000000"/>
                <w:lang w:eastAsia="sk-SK"/>
              </w:rPr>
            </w:pPr>
          </w:p>
        </w:tc>
        <w:tc>
          <w:tcPr>
            <w:tcW w:w="0" w:type="auto"/>
            <w:shd w:val="clear" w:color="000000" w:fill="D9E1F2"/>
            <w:vAlign w:val="center"/>
          </w:tcPr>
          <w:p w14:paraId="451CDFB4" w14:textId="77777777" w:rsidR="00043FF0" w:rsidRDefault="006A4D7B">
            <w:pPr>
              <w:spacing w:after="0" w:line="240" w:lineRule="auto"/>
              <w:rPr>
                <w:rFonts w:ascii="Calibri" w:eastAsia="Times New Roman" w:hAnsi="Calibri" w:cs="Times New Roman"/>
                <w:lang w:eastAsia="sk-SK"/>
              </w:rPr>
            </w:pPr>
            <w:hyperlink r:id="rId22" w:anchor="Expl.OCA12!A1" w:history="1">
              <w:r w:rsidR="005A0824">
                <w:rPr>
                  <w:rFonts w:ascii="Calibri" w:eastAsia="Times New Roman" w:hAnsi="Calibri" w:cs="Times New Roman"/>
                  <w:lang w:eastAsia="sk-SK"/>
                </w:rPr>
                <w:t>OCA12. Typ výstupu (ak nie je výstup registrovaný v CREPČ alebo CREUČ) / Type of the output (if the output is not registered in CRPA or CRAA)</w:t>
              </w:r>
              <w:r w:rsidR="005A0824">
                <w:rPr>
                  <w:rFonts w:ascii="Calibri" w:eastAsia="Times New Roman" w:hAnsi="Calibri" w:cs="Times New Roman"/>
                  <w:lang w:eastAsia="sk-SK"/>
                </w:rPr>
                <w:br/>
              </w:r>
            </w:hyperlink>
          </w:p>
        </w:tc>
        <w:tc>
          <w:tcPr>
            <w:tcW w:w="0" w:type="auto"/>
            <w:shd w:val="clear" w:color="auto" w:fill="auto"/>
          </w:tcPr>
          <w:p w14:paraId="7FBEDC25" w14:textId="77777777" w:rsidR="00043FF0" w:rsidRDefault="005A0824">
            <w:pPr>
              <w:spacing w:after="0" w:line="240" w:lineRule="auto"/>
              <w:rPr>
                <w:rFonts w:ascii="Calibri" w:eastAsia="Times New Roman" w:hAnsi="Calibri" w:cs="Times New Roman"/>
                <w:iCs/>
                <w:color w:val="000000"/>
                <w:lang w:eastAsia="sk-SK"/>
              </w:rPr>
            </w:pPr>
            <w:r>
              <w:rPr>
                <w:rFonts w:ascii="Calibri" w:eastAsia="Times New Roman" w:hAnsi="Calibri" w:cs="Times New Roman"/>
                <w:i/>
                <w:iCs/>
                <w:color w:val="000000"/>
                <w:lang w:eastAsia="sk-SK"/>
              </w:rPr>
              <w:t> </w:t>
            </w:r>
            <w:r>
              <w:rPr>
                <w:rFonts w:ascii="Calibri" w:eastAsia="Times New Roman" w:hAnsi="Calibri" w:cs="Times New Roman"/>
                <w:iCs/>
                <w:color w:val="000000"/>
                <w:lang w:eastAsia="sk-SK"/>
              </w:rPr>
              <w:t>x</w:t>
            </w:r>
          </w:p>
        </w:tc>
      </w:tr>
      <w:tr w:rsidR="00043FF0" w14:paraId="06350795" w14:textId="77777777">
        <w:trPr>
          <w:trHeight w:val="1110"/>
        </w:trPr>
        <w:tc>
          <w:tcPr>
            <w:tcW w:w="0" w:type="auto"/>
            <w:shd w:val="clear" w:color="auto" w:fill="auto"/>
            <w:vAlign w:val="bottom"/>
          </w:tcPr>
          <w:p w14:paraId="0B93FDA4" w14:textId="77777777" w:rsidR="00043FF0" w:rsidRDefault="00043FF0">
            <w:pPr>
              <w:spacing w:after="0" w:line="240" w:lineRule="auto"/>
              <w:rPr>
                <w:rFonts w:ascii="Calibri" w:eastAsia="Times New Roman" w:hAnsi="Calibri" w:cs="Times New Roman"/>
                <w:i/>
                <w:iCs/>
                <w:color w:val="000000"/>
                <w:lang w:eastAsia="sk-SK"/>
              </w:rPr>
            </w:pPr>
          </w:p>
        </w:tc>
        <w:tc>
          <w:tcPr>
            <w:tcW w:w="0" w:type="auto"/>
            <w:vMerge/>
            <w:vAlign w:val="center"/>
          </w:tcPr>
          <w:p w14:paraId="477622A4" w14:textId="77777777" w:rsidR="00043FF0" w:rsidRDefault="00043FF0">
            <w:pPr>
              <w:spacing w:after="0" w:line="240" w:lineRule="auto"/>
              <w:rPr>
                <w:rFonts w:ascii="Calibri" w:eastAsia="Times New Roman" w:hAnsi="Calibri" w:cs="Times New Roman"/>
                <w:color w:val="000000"/>
                <w:lang w:eastAsia="sk-SK"/>
              </w:rPr>
            </w:pPr>
          </w:p>
        </w:tc>
        <w:tc>
          <w:tcPr>
            <w:tcW w:w="0" w:type="auto"/>
            <w:shd w:val="clear" w:color="FBE5D6" w:fill="DAE3F3"/>
            <w:vAlign w:val="center"/>
          </w:tcPr>
          <w:p w14:paraId="1A1BD1E9" w14:textId="77777777" w:rsidR="00043FF0" w:rsidRDefault="005A0824">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OCA13. </w:t>
            </w:r>
            <w:r>
              <w:rPr>
                <w:rFonts w:ascii="Calibri" w:eastAsia="Times New Roman" w:hAnsi="Calibri" w:cs="Times New Roman"/>
                <w:b/>
                <w:color w:val="000000"/>
                <w:lang w:eastAsia="sk-SK"/>
              </w:rPr>
              <w:t>Hyperlink na stránku, na ktorej je výstup sprístupnený</w:t>
            </w:r>
            <w:r>
              <w:rPr>
                <w:rFonts w:ascii="Calibri" w:eastAsia="Times New Roman" w:hAnsi="Calibri" w:cs="Times New Roman"/>
                <w:color w:val="000000"/>
                <w:lang w:eastAsia="sk-SK"/>
              </w:rPr>
              <w:t xml:space="preserve"> (úplný text, iná dokumentácia a podobne) / Hyperlink to the webpage where the output is available (full text, other documentation, etc.)</w:t>
            </w:r>
          </w:p>
        </w:tc>
        <w:tc>
          <w:tcPr>
            <w:tcW w:w="0" w:type="auto"/>
            <w:shd w:val="clear" w:color="auto" w:fill="auto"/>
          </w:tcPr>
          <w:p w14:paraId="38509370" w14:textId="77777777" w:rsidR="00043FF0" w:rsidRDefault="005A0824">
            <w:pPr>
              <w:spacing w:after="0" w:line="240" w:lineRule="auto"/>
              <w:rPr>
                <w:rFonts w:ascii="Calibri" w:eastAsia="Times New Roman" w:hAnsi="Calibri" w:cs="Times New Roman"/>
                <w:color w:val="000000"/>
                <w:lang w:eastAsia="sk-SK"/>
              </w:rPr>
            </w:pPr>
            <w:r>
              <w:rPr>
                <w:rFonts w:ascii="Calibri" w:eastAsia="Times New Roman" w:hAnsi="Calibri"/>
                <w:lang w:val="en-US" w:eastAsia="sk-SK"/>
              </w:rPr>
              <w:t>x</w:t>
            </w:r>
          </w:p>
        </w:tc>
      </w:tr>
      <w:tr w:rsidR="00043FF0" w14:paraId="75D41F6A" w14:textId="77777777">
        <w:trPr>
          <w:trHeight w:val="765"/>
        </w:trPr>
        <w:tc>
          <w:tcPr>
            <w:tcW w:w="0" w:type="auto"/>
            <w:shd w:val="clear" w:color="auto" w:fill="auto"/>
            <w:vAlign w:val="bottom"/>
          </w:tcPr>
          <w:p w14:paraId="3B709514" w14:textId="77777777" w:rsidR="00043FF0" w:rsidRDefault="00043FF0">
            <w:pPr>
              <w:spacing w:after="0" w:line="240" w:lineRule="auto"/>
              <w:rPr>
                <w:rFonts w:ascii="Calibri" w:eastAsia="Times New Roman" w:hAnsi="Calibri" w:cs="Times New Roman"/>
                <w:color w:val="000000"/>
                <w:lang w:eastAsia="sk-SK"/>
              </w:rPr>
            </w:pPr>
          </w:p>
        </w:tc>
        <w:tc>
          <w:tcPr>
            <w:tcW w:w="0" w:type="auto"/>
            <w:vMerge/>
            <w:vAlign w:val="center"/>
          </w:tcPr>
          <w:p w14:paraId="6913F1B6" w14:textId="77777777" w:rsidR="00043FF0" w:rsidRDefault="00043FF0">
            <w:pPr>
              <w:spacing w:after="0" w:line="240" w:lineRule="auto"/>
              <w:rPr>
                <w:rFonts w:ascii="Calibri" w:eastAsia="Times New Roman" w:hAnsi="Calibri" w:cs="Times New Roman"/>
                <w:color w:val="000000"/>
                <w:lang w:eastAsia="sk-SK"/>
              </w:rPr>
            </w:pPr>
          </w:p>
        </w:tc>
        <w:tc>
          <w:tcPr>
            <w:tcW w:w="0" w:type="auto"/>
            <w:shd w:val="clear" w:color="FBE5D6" w:fill="DAE3F3"/>
            <w:vAlign w:val="center"/>
          </w:tcPr>
          <w:p w14:paraId="3D2CBDF7" w14:textId="77777777" w:rsidR="00043FF0" w:rsidRDefault="005A0824">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OCA14. Charakteristika autorského vkladu / Characteristics of the author's contribution</w:t>
            </w:r>
          </w:p>
        </w:tc>
        <w:tc>
          <w:tcPr>
            <w:tcW w:w="0" w:type="auto"/>
            <w:shd w:val="clear" w:color="auto" w:fill="auto"/>
          </w:tcPr>
          <w:p w14:paraId="78808751" w14:textId="77777777" w:rsidR="00043FF0" w:rsidRDefault="005A0824">
            <w:pPr>
              <w:spacing w:after="0" w:line="240" w:lineRule="auto"/>
              <w:rPr>
                <w:rFonts w:ascii="Calibri" w:eastAsia="Times New Roman" w:hAnsi="Calibri" w:cs="Times New Roman"/>
                <w:color w:val="000000"/>
                <w:lang w:eastAsia="sk-SK"/>
              </w:rPr>
            </w:pPr>
            <w:r>
              <w:rPr>
                <w:rFonts w:ascii="Calibri" w:eastAsia="Times New Roman" w:hAnsi="Calibri" w:cs="Times New Roman"/>
                <w:lang w:val="en-US" w:eastAsia="sk-SK"/>
              </w:rPr>
              <w:t>A</w:t>
            </w:r>
            <w:r>
              <w:rPr>
                <w:rFonts w:ascii="Calibri" w:eastAsia="Times New Roman" w:hAnsi="Calibri" w:cs="Times New Roman"/>
                <w:lang w:eastAsia="sk-SK"/>
              </w:rPr>
              <w:t xml:space="preserve">utor / </w:t>
            </w:r>
            <w:r>
              <w:rPr>
                <w:rFonts w:ascii="Calibri" w:eastAsia="Times New Roman" w:hAnsi="Calibri" w:cs="Times New Roman"/>
                <w:lang w:val="en-US" w:eastAsia="sk-SK"/>
              </w:rPr>
              <w:t>A</w:t>
            </w:r>
            <w:r>
              <w:rPr>
                <w:rFonts w:ascii="Calibri" w:eastAsia="Times New Roman" w:hAnsi="Calibri" w:cs="Times New Roman"/>
                <w:lang w:eastAsia="sk-SK"/>
              </w:rPr>
              <w:t>uthor</w:t>
            </w:r>
          </w:p>
        </w:tc>
      </w:tr>
      <w:tr w:rsidR="00043FF0" w14:paraId="7B7C057B" w14:textId="77777777">
        <w:trPr>
          <w:trHeight w:val="2310"/>
        </w:trPr>
        <w:tc>
          <w:tcPr>
            <w:tcW w:w="0" w:type="auto"/>
            <w:shd w:val="clear" w:color="auto" w:fill="auto"/>
            <w:vAlign w:val="bottom"/>
          </w:tcPr>
          <w:p w14:paraId="65C62269" w14:textId="77777777" w:rsidR="00043FF0" w:rsidRDefault="00043FF0">
            <w:pPr>
              <w:spacing w:after="0" w:line="240" w:lineRule="auto"/>
              <w:rPr>
                <w:rFonts w:ascii="Calibri" w:eastAsia="Times New Roman" w:hAnsi="Calibri" w:cs="Times New Roman"/>
                <w:color w:val="000000"/>
                <w:lang w:eastAsia="sk-SK"/>
              </w:rPr>
            </w:pPr>
          </w:p>
        </w:tc>
        <w:tc>
          <w:tcPr>
            <w:tcW w:w="0" w:type="auto"/>
            <w:vMerge/>
            <w:vAlign w:val="center"/>
          </w:tcPr>
          <w:p w14:paraId="7D230E8D" w14:textId="77777777" w:rsidR="00043FF0" w:rsidRDefault="00043FF0">
            <w:pPr>
              <w:spacing w:after="0" w:line="240" w:lineRule="auto"/>
              <w:rPr>
                <w:rFonts w:ascii="Calibri" w:eastAsia="Times New Roman" w:hAnsi="Calibri" w:cs="Times New Roman"/>
                <w:color w:val="000000"/>
                <w:lang w:eastAsia="sk-SK"/>
              </w:rPr>
            </w:pPr>
          </w:p>
        </w:tc>
        <w:tc>
          <w:tcPr>
            <w:tcW w:w="0" w:type="auto"/>
            <w:shd w:val="clear" w:color="000000" w:fill="D9E1F2"/>
            <w:vAlign w:val="center"/>
          </w:tcPr>
          <w:p w14:paraId="44F23374" w14:textId="77777777" w:rsidR="00043FF0" w:rsidRDefault="006A4D7B">
            <w:pPr>
              <w:spacing w:after="0" w:line="240" w:lineRule="auto"/>
              <w:rPr>
                <w:rFonts w:ascii="Calibri" w:eastAsia="Times New Roman" w:hAnsi="Calibri" w:cs="Times New Roman"/>
                <w:lang w:eastAsia="sk-SK"/>
              </w:rPr>
            </w:pPr>
            <w:hyperlink r:id="rId23" w:anchor="'poznamky_explanatory notes'!A1" w:history="1">
              <w:r w:rsidR="005A0824">
                <w:rPr>
                  <w:rFonts w:ascii="Calibri" w:eastAsia="Times New Roman" w:hAnsi="Calibri" w:cs="Times New Roman"/>
                  <w:lang w:eastAsia="sk-SK"/>
                </w:rPr>
                <w:t xml:space="preserve">OCA15. </w:t>
              </w:r>
              <w:r w:rsidR="005A0824">
                <w:rPr>
                  <w:rFonts w:ascii="Calibri" w:eastAsia="Times New Roman" w:hAnsi="Calibri" w:cs="Times New Roman"/>
                  <w:b/>
                  <w:lang w:eastAsia="sk-SK"/>
                </w:rPr>
                <w:t>Anotácia výstupu s kontextovými informáciami týkajúcimi sa opisu tvorivého procesu a obsahu tvorivej činnosti a pod</w:t>
              </w:r>
              <w:r w:rsidR="005A0824">
                <w:rPr>
                  <w:rFonts w:ascii="Calibri" w:eastAsia="Times New Roman" w:hAnsi="Calibri" w:cs="Times New Roman"/>
                  <w:lang w:eastAsia="sk-SK"/>
                </w:rPr>
                <w:t>. / Annotation of the output with contextual information concerning the description of creative process and the content of the research/artistic/othe</w:t>
              </w:r>
              <w:r w:rsidR="005A0824">
                <w:rPr>
                  <w:rFonts w:ascii="Calibri" w:eastAsia="Times New Roman" w:hAnsi="Calibri" w:cs="Times New Roman"/>
                  <w:lang w:eastAsia="sk-SK"/>
                </w:rPr>
                <w:lastRenderedPageBreak/>
                <w:t xml:space="preserve">r activity, etc. </w:t>
              </w:r>
              <w:r w:rsidR="005A0824">
                <w:rPr>
                  <w:rStyle w:val="Odkaznapoznmkupodiarou"/>
                  <w:rFonts w:ascii="Calibri" w:eastAsia="Times New Roman" w:hAnsi="Calibri" w:cs="Times New Roman"/>
                  <w:lang w:eastAsia="sk-SK"/>
                </w:rPr>
                <w:footnoteReference w:id="8"/>
              </w:r>
              <w:r w:rsidR="005A0824">
                <w:rPr>
                  <w:rFonts w:ascii="Calibri" w:eastAsia="Times New Roman" w:hAnsi="Calibri" w:cs="Times New Roman"/>
                  <w:lang w:eastAsia="sk-SK"/>
                </w:rPr>
                <w:br w:type="page"/>
              </w:r>
              <w:r w:rsidR="005A0824">
                <w:rPr>
                  <w:rFonts w:ascii="Calibri" w:eastAsia="Times New Roman" w:hAnsi="Calibri" w:cs="Times New Roman"/>
                  <w:i/>
                  <w:iCs/>
                  <w:color w:val="808080"/>
                  <w:lang w:eastAsia="sk-SK"/>
                </w:rPr>
                <w:t>Rozsah do 200 slov v slovenskom jazyku / Range up to 200 words in Slovak</w:t>
              </w:r>
              <w:r w:rsidR="005A0824">
                <w:rPr>
                  <w:rFonts w:ascii="Calibri" w:eastAsia="Times New Roman" w:hAnsi="Calibri" w:cs="Times New Roman"/>
                  <w:i/>
                  <w:iCs/>
                  <w:color w:val="808080"/>
                  <w:lang w:eastAsia="sk-SK"/>
                </w:rPr>
                <w:br w:type="page"/>
                <w:t xml:space="preserve">Rozsah do 200 slov v anglickom jazyku / Range up to 200 words in English </w:t>
              </w:r>
            </w:hyperlink>
          </w:p>
        </w:tc>
        <w:tc>
          <w:tcPr>
            <w:tcW w:w="0" w:type="auto"/>
            <w:shd w:val="clear" w:color="auto" w:fill="auto"/>
          </w:tcPr>
          <w:p w14:paraId="71B25DFD" w14:textId="77777777" w:rsidR="00043FF0" w:rsidRDefault="005A0824">
            <w:pPr>
              <w:ind w:right="4"/>
              <w:jc w:val="both"/>
            </w:pPr>
            <w:r>
              <w:rPr>
                <w:iCs/>
              </w:rPr>
              <w:lastRenderedPageBreak/>
              <w:t xml:space="preserve">Vedecká monografia </w:t>
            </w:r>
            <w:r>
              <w:t xml:space="preserve">komplexne analyzuje aktuálny stav právnej úpravy správneho trestania na Slovensku z pohľadu aplikácie princípov trestania, ich medzinárodných a ústavnoprávnych aspektov. Prvý raz v histórii slovenského práva  sa analyzuje obsah princípov administratívneho postihu za správne delikty, so špeciálnym zreteľom na princíp </w:t>
            </w:r>
            <w:r>
              <w:rPr>
                <w:i/>
              </w:rPr>
              <w:t>ne bis in idem</w:t>
            </w:r>
            <w:r>
              <w:t xml:space="preserve"> a </w:t>
            </w:r>
            <w:r>
              <w:rPr>
                <w:i/>
              </w:rPr>
              <w:t>princíp subsidiarity trestného postihu</w:t>
            </w:r>
            <w:r>
              <w:t xml:space="preserve"> (</w:t>
            </w:r>
            <w:r>
              <w:rPr>
                <w:i/>
              </w:rPr>
              <w:t>ultima ratio</w:t>
            </w:r>
            <w:r>
              <w:t>). Dielo obsahuje prehľadné komparatívne tabuľky, podľa ktorých si môže čitateľ iniciatívne vyhodnotiť mieru zhody slovenskej úpravy so zahraničnou, ako aj s požiadavkami Ústavy Slovenskej republiky a Dohovoru o ochrane ľudských práv a základných slobôd. Námety de lege ferenda majú byť podkladom pre prípravu novej, komplexnej úpravy na Slovensku (zákona o správnom trestaní).</w:t>
            </w:r>
          </w:p>
          <w:p w14:paraId="62CCB1C3" w14:textId="77777777" w:rsidR="00043FF0" w:rsidRDefault="00043FF0">
            <w:pPr>
              <w:spacing w:after="0" w:line="240" w:lineRule="auto"/>
              <w:rPr>
                <w:rFonts w:ascii="Calibri" w:eastAsia="Times New Roman" w:hAnsi="Calibri" w:cs="Calibri"/>
                <w:lang w:eastAsia="sk-SK"/>
              </w:rPr>
            </w:pPr>
          </w:p>
          <w:p w14:paraId="61CC739C" w14:textId="77777777" w:rsidR="00043FF0" w:rsidRDefault="00043FF0">
            <w:pPr>
              <w:spacing w:after="0" w:line="240" w:lineRule="auto"/>
              <w:jc w:val="both"/>
              <w:rPr>
                <w:rFonts w:ascii="Calibri" w:eastAsia="Times New Roman" w:hAnsi="Calibri" w:cs="Calibri"/>
                <w:i/>
                <w:lang w:val="en-GB" w:eastAsia="sk-SK"/>
              </w:rPr>
            </w:pPr>
          </w:p>
        </w:tc>
      </w:tr>
      <w:tr w:rsidR="00043FF0" w14:paraId="0AC7B988" w14:textId="77777777">
        <w:trPr>
          <w:trHeight w:val="915"/>
        </w:trPr>
        <w:tc>
          <w:tcPr>
            <w:tcW w:w="0" w:type="auto"/>
            <w:shd w:val="clear" w:color="auto" w:fill="auto"/>
            <w:vAlign w:val="bottom"/>
          </w:tcPr>
          <w:p w14:paraId="5FEB2968" w14:textId="77777777" w:rsidR="00043FF0" w:rsidRDefault="00043FF0">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tcPr>
          <w:p w14:paraId="5BA06002" w14:textId="77777777" w:rsidR="00043FF0" w:rsidRDefault="006A4D7B">
            <w:pPr>
              <w:spacing w:after="0" w:line="240" w:lineRule="auto"/>
              <w:rPr>
                <w:rFonts w:ascii="Calibri" w:eastAsia="Times New Roman" w:hAnsi="Calibri" w:cs="Times New Roman"/>
                <w:lang w:eastAsia="sk-SK"/>
              </w:rPr>
            </w:pPr>
            <w:hyperlink r:id="rId24" w:anchor="'poznamky_explanatory notes'!A1" w:history="1">
              <w:r w:rsidR="005A0824">
                <w:rPr>
                  <w:rFonts w:ascii="Calibri" w:eastAsia="Times New Roman" w:hAnsi="Calibri" w:cs="Times New Roman"/>
                  <w:lang w:eastAsia="sk-SK"/>
                </w:rPr>
                <w:t xml:space="preserve">OCA16. </w:t>
              </w:r>
              <w:r w:rsidR="005A0824">
                <w:rPr>
                  <w:rFonts w:ascii="Calibri" w:eastAsia="Times New Roman" w:hAnsi="Calibri" w:cs="Times New Roman"/>
                  <w:b/>
                  <w:lang w:eastAsia="sk-SK"/>
                </w:rPr>
                <w:t>Anotácia výstupu v anglickom jazyku</w:t>
              </w:r>
              <w:r w:rsidR="005A0824">
                <w:rPr>
                  <w:rFonts w:ascii="Calibri" w:eastAsia="Times New Roman" w:hAnsi="Calibri" w:cs="Times New Roman"/>
                  <w:lang w:eastAsia="sk-SK"/>
                </w:rPr>
                <w:t xml:space="preserve"> / Annotation of the output in English </w:t>
              </w:r>
              <w:r w:rsidR="005A0824">
                <w:rPr>
                  <w:rStyle w:val="Odkaznapoznmkupodiarou"/>
                  <w:rFonts w:ascii="Calibri" w:eastAsia="Times New Roman" w:hAnsi="Calibri" w:cs="Times New Roman"/>
                  <w:lang w:eastAsia="sk-SK"/>
                </w:rPr>
                <w:footnoteReference w:id="9"/>
              </w:r>
              <w:r w:rsidR="005A0824">
                <w:rPr>
                  <w:rFonts w:ascii="Calibri" w:eastAsia="Times New Roman" w:hAnsi="Calibri" w:cs="Times New Roman"/>
                  <w:lang w:eastAsia="sk-SK"/>
                </w:rPr>
                <w:br w:type="page"/>
              </w:r>
              <w:r w:rsidR="005A0824">
                <w:rPr>
                  <w:rFonts w:ascii="Calibri" w:eastAsia="Times New Roman" w:hAnsi="Calibri" w:cs="Times New Roman"/>
                  <w:i/>
                  <w:iCs/>
                  <w:color w:val="808080"/>
                  <w:lang w:eastAsia="sk-SK"/>
                </w:rPr>
                <w:t>Rozsah do 200 slov / Range up to 200 words</w:t>
              </w:r>
            </w:hyperlink>
          </w:p>
        </w:tc>
        <w:tc>
          <w:tcPr>
            <w:tcW w:w="0" w:type="auto"/>
            <w:shd w:val="clear" w:color="auto" w:fill="auto"/>
          </w:tcPr>
          <w:p w14:paraId="5CA04018" w14:textId="77777777" w:rsidR="00043FF0" w:rsidRDefault="005A0824">
            <w:pPr>
              <w:spacing w:after="0" w:line="240" w:lineRule="auto"/>
              <w:rPr>
                <w:rFonts w:ascii="Calibri" w:eastAsia="Times New Roman" w:hAnsi="Calibri" w:cs="Times New Roman"/>
                <w:lang w:val="en-US" w:eastAsia="sk-SK"/>
              </w:rPr>
            </w:pPr>
            <w:r>
              <w:rPr>
                <w:rFonts w:ascii="Calibri" w:eastAsia="SimSun" w:hAnsi="Calibri" w:cs="Calibri"/>
                <w:i/>
                <w:iCs/>
                <w:lang w:val="en-US"/>
              </w:rPr>
              <w:t>The scientific monograph comprehensively analyzes the current legal status of administrative punishment in Slovakia from the point of view of the application of the principles of punishment, their international and constitutional aspects. For the first time in the history of Slovak law, the content of the principles of administrative punishment for administrative offenses is analyzed, with special attention to the principle of ne bis in idem and the principle of subsidiarity of criminal punishment (ultima ratio). The work contains clear comparative tables, according to which he can proactively evaluate the degree of conformity of the Slovak regulation with the foreign one, as well as with the requirements of the Constitution of the Slovak Republic and the Convention on the Protection of Human Rights and Fundamental Freedoms. The subjects of the de lege ferenda should be the basis for the preparation of a new, complex regulation in Slovakia (the Law on Administrative Punishment).</w:t>
            </w:r>
          </w:p>
        </w:tc>
      </w:tr>
      <w:tr w:rsidR="00043FF0" w14:paraId="78B595B0" w14:textId="77777777">
        <w:trPr>
          <w:trHeight w:val="810"/>
        </w:trPr>
        <w:tc>
          <w:tcPr>
            <w:tcW w:w="0" w:type="auto"/>
            <w:shd w:val="clear" w:color="auto" w:fill="auto"/>
            <w:vAlign w:val="bottom"/>
          </w:tcPr>
          <w:p w14:paraId="2B253D98" w14:textId="77777777" w:rsidR="00043FF0" w:rsidRDefault="00043FF0">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tcPr>
          <w:p w14:paraId="4EB8C9FB" w14:textId="77777777" w:rsidR="00043FF0" w:rsidRDefault="005A0824">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OCA17. </w:t>
            </w:r>
            <w:r>
              <w:rPr>
                <w:rFonts w:ascii="Calibri" w:eastAsia="Times New Roman" w:hAnsi="Calibri" w:cs="Times New Roman"/>
                <w:b/>
                <w:color w:val="000000"/>
                <w:lang w:eastAsia="sk-SK"/>
              </w:rPr>
              <w:t>Zoznam najviac 5 najvýznamnejších ohlasov na výstup</w:t>
            </w:r>
            <w:r>
              <w:rPr>
                <w:rFonts w:ascii="Calibri" w:eastAsia="Times New Roman" w:hAnsi="Calibri" w:cs="Times New Roman"/>
                <w:color w:val="000000"/>
                <w:lang w:eastAsia="sk-SK"/>
              </w:rPr>
              <w:t xml:space="preserve">  / List of maximum 5 most significant citations corresponding to the output </w:t>
            </w:r>
            <w:r>
              <w:rPr>
                <w:rFonts w:ascii="Calibri" w:eastAsia="Times New Roman" w:hAnsi="Calibri" w:cs="Times New Roman"/>
                <w:color w:val="000000"/>
                <w:lang w:eastAsia="sk-SK"/>
              </w:rPr>
              <w:br/>
            </w:r>
            <w:r>
              <w:rPr>
                <w:rFonts w:ascii="Calibri" w:eastAsia="Times New Roman" w:hAnsi="Calibri" w:cs="Times New Roman"/>
                <w:i/>
                <w:iCs/>
                <w:color w:val="808080"/>
                <w:lang w:eastAsia="sk-SK"/>
              </w:rPr>
              <w:t>Rozsah do 200 slov / Range up to 200 words</w:t>
            </w:r>
          </w:p>
        </w:tc>
        <w:tc>
          <w:tcPr>
            <w:tcW w:w="0" w:type="auto"/>
            <w:shd w:val="clear" w:color="auto" w:fill="auto"/>
          </w:tcPr>
          <w:p w14:paraId="22299341" w14:textId="77777777" w:rsidR="00043FF0" w:rsidRDefault="005A0824">
            <w:pPr>
              <w:spacing w:after="0" w:line="240" w:lineRule="auto"/>
              <w:rPr>
                <w:rFonts w:ascii="Calibri" w:eastAsia="SimSun" w:hAnsi="Calibri" w:cs="Calibri"/>
              </w:rPr>
            </w:pPr>
            <w:r>
              <w:rPr>
                <w:rFonts w:ascii="Calibri" w:eastAsia="SimSun" w:hAnsi="Calibri" w:cs="Calibri"/>
              </w:rPr>
              <w:t>2019 [3] ŠTEVČEK, M. a kol. Občiansky zákonník 1 : komentár. Praha : C.H. Beck, 2019, s. 411. ISBN 978-80-7400-770-5</w:t>
            </w:r>
            <w:r>
              <w:rPr>
                <w:rFonts w:ascii="Calibri" w:eastAsia="SimSun" w:hAnsi="Calibri" w:cs="Calibri"/>
              </w:rPr>
              <w:br/>
              <w:t>2019 [3] MÁČAJ, Ľ. Rozšírenie používania dispozičnej zásady v priestupkovom konaní? In Potěšil, L. - Hejč, D. - Valdhans, J. (eds.) Dny práva 2018 - Days of law 2018 [online]. Brno : Masarykova univerzita, 2019, s. 181,190. ISBN 978-80-210-9326-3. Dostupné na: &lt;http://www.dnyprava.cz/dokumenty/48814&gt;</w:t>
            </w:r>
          </w:p>
          <w:p w14:paraId="3002DBC3" w14:textId="77777777" w:rsidR="00043FF0" w:rsidRDefault="005A0824">
            <w:pPr>
              <w:spacing w:after="0" w:line="240" w:lineRule="auto"/>
              <w:rPr>
                <w:rFonts w:ascii="Calibri" w:eastAsia="Times New Roman" w:hAnsi="Calibri" w:cs="Calibri"/>
                <w:lang w:eastAsia="sk-SK"/>
              </w:rPr>
            </w:pPr>
            <w:r>
              <w:rPr>
                <w:rFonts w:ascii="Calibri" w:eastAsia="SimSun" w:hAnsi="Calibri" w:cs="Calibri"/>
              </w:rPr>
              <w:t>2020 [4] DIMITROVA, S. Criminal protection for illegal migration under Bulgarian criminal law. In Košičiarová, S. (ed.) Aktuálne otázky azylového práva 2. Trnava : Typi Universitatis Tyrnaviensis, 2020, s. 39. ISBN 978-80-568-0330-1</w:t>
            </w:r>
            <w:r>
              <w:rPr>
                <w:rFonts w:ascii="Calibri" w:eastAsia="SimSun" w:hAnsi="Calibri" w:cs="Calibri"/>
              </w:rPr>
              <w:br/>
              <w:t>2021 [4] TEKELI, J. – HOFFMANN, M. – TOMAŠ, L. Záverečné, prechodné a zrušovacie ustanovenia : šiesta časť : §27-32. In Tekeli, J. – Hoffmann, M. – Tomaš, L. Zákon o obecnom zriadení : komentár - Bratislava : Wolters Kluwer, 2021, s. 847. ISBN 978-80-571-0359-2</w:t>
            </w:r>
            <w:r>
              <w:rPr>
                <w:rFonts w:ascii="Calibri" w:eastAsia="SimSun" w:hAnsi="Calibri" w:cs="Calibri"/>
              </w:rPr>
              <w:br/>
              <w:t>2021 [4] CEPEK, B. Zánik trestnosti správnych deliktov právnických osôb. In Paneurópske právnické listy [online] : vedecký časopis Paneurópskej vysokej školy - Roč. 4, č. 1, 2021. ISSN 2644-450X</w:t>
            </w:r>
          </w:p>
        </w:tc>
      </w:tr>
      <w:tr w:rsidR="00043FF0" w14:paraId="509FA822" w14:textId="77777777">
        <w:trPr>
          <w:trHeight w:val="1170"/>
        </w:trPr>
        <w:tc>
          <w:tcPr>
            <w:tcW w:w="0" w:type="auto"/>
            <w:shd w:val="clear" w:color="auto" w:fill="auto"/>
            <w:vAlign w:val="bottom"/>
          </w:tcPr>
          <w:p w14:paraId="693C7693" w14:textId="77777777" w:rsidR="00043FF0" w:rsidRDefault="00043FF0">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tcPr>
          <w:p w14:paraId="4F9DC622" w14:textId="77777777" w:rsidR="00043FF0" w:rsidRDefault="005A0824">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OCA18. </w:t>
            </w:r>
            <w:r>
              <w:rPr>
                <w:rFonts w:ascii="Calibri" w:eastAsia="Times New Roman" w:hAnsi="Calibri" w:cs="Times New Roman"/>
                <w:b/>
                <w:color w:val="000000"/>
                <w:lang w:eastAsia="sk-SK"/>
              </w:rPr>
              <w:t>Charakteristika dopadu výstupu na spoločensko-hospodársku prax</w:t>
            </w:r>
            <w:r>
              <w:rPr>
                <w:rFonts w:ascii="Calibri" w:eastAsia="Times New Roman" w:hAnsi="Calibri" w:cs="Times New Roman"/>
                <w:color w:val="000000"/>
                <w:lang w:eastAsia="sk-SK"/>
              </w:rPr>
              <w:t xml:space="preserve"> / Characteristics of the output's impact on socio-economic practice </w:t>
            </w:r>
            <w:r>
              <w:rPr>
                <w:rFonts w:ascii="Calibri" w:eastAsia="Times New Roman" w:hAnsi="Calibri" w:cs="Times New Roman"/>
                <w:color w:val="000000"/>
                <w:lang w:eastAsia="sk-SK"/>
              </w:rPr>
              <w:br/>
            </w:r>
            <w:r>
              <w:rPr>
                <w:rFonts w:ascii="Calibri" w:eastAsia="Times New Roman" w:hAnsi="Calibri" w:cs="Times New Roman"/>
                <w:i/>
                <w:iCs/>
                <w:color w:val="808080"/>
                <w:lang w:eastAsia="sk-SK"/>
              </w:rPr>
              <w:lastRenderedPageBreak/>
              <w:t>Rozsah do 200 slov v slovenskom jazyku / Range up to 200 words in Slovak</w:t>
            </w:r>
            <w:r>
              <w:rPr>
                <w:rFonts w:ascii="Calibri" w:eastAsia="Times New Roman" w:hAnsi="Calibri" w:cs="Times New Roman"/>
                <w:i/>
                <w:iCs/>
                <w:color w:val="808080"/>
                <w:lang w:eastAsia="sk-SK"/>
              </w:rPr>
              <w:br/>
              <w:t>Rozsah do 200 slov v anglickom jazyku / Range up to 200 words in English</w:t>
            </w:r>
          </w:p>
        </w:tc>
        <w:tc>
          <w:tcPr>
            <w:tcW w:w="0" w:type="auto"/>
            <w:shd w:val="clear" w:color="auto" w:fill="auto"/>
          </w:tcPr>
          <w:p w14:paraId="72C6F34B" w14:textId="77777777" w:rsidR="00043FF0" w:rsidRDefault="005A0824">
            <w:pPr>
              <w:jc w:val="both"/>
              <w:rPr>
                <w:rFonts w:ascii="Calibri" w:hAnsi="Calibri" w:cs="Calibri"/>
              </w:rPr>
            </w:pPr>
            <w:r>
              <w:rPr>
                <w:rFonts w:ascii="Calibri" w:hAnsi="Calibri" w:cs="Calibri"/>
              </w:rPr>
              <w:lastRenderedPageBreak/>
              <w:t xml:space="preserve">Na Slovensku orgány verejnej správy aplikujú zákony, ktoré nedostatočným spôsobom odpovedajú na otázku, akým spôsobom majú postupovať pri vyvodzovaní zodpovednosti za správne delikty. Taká legislatívna situácia vedie k nezákonnosti rozhodovania vo verejnej správe a neprimerane presúva bremeno právnej ochrany osôb na súdy. Predmetný stav je zapríčinený nevyváženosťou miery úpravy pravidiel týkajúcich sa prejednávania a postihu jednotlivých </w:t>
            </w:r>
            <w:r>
              <w:rPr>
                <w:rFonts w:ascii="Calibri" w:hAnsi="Calibri" w:cs="Calibri"/>
              </w:rPr>
              <w:lastRenderedPageBreak/>
              <w:t>kategórií správnych deliktov. Kým rôznorodosť hmotnoprávnych režimov zodpovednosti za jednotlivé kategórie je odôvodniteľná odlišnosťami kategórií správnych deliktov, spoločná verejnoprávna podstata správnych deliktov si vyžaduje spoločnú procesnoprávnu úpravu ich prejednávania. Regulácia by mala vyjadrovať procesné práva osôb, ktorých sa právomoc orgánov verejnej správy pri vyvodzovaní administratívnoprávnej zodpovednosti dotýka. Predovšetkým by malo byť upravené procesné postavenie obvineného zo správneho deliktu. Jeho procesné práva by mali byť ustanovené komplexne a precíznym spôsobom, minimálne v rozsahu garantovanom Ústavou Slovenskej republiky a medzinárodnými zmluvami (predovšetkým čl. 6 Dohovoru o ochrane ľudských práv a základných slobôd).</w:t>
            </w:r>
          </w:p>
          <w:p w14:paraId="5570887E" w14:textId="77777777" w:rsidR="00043FF0" w:rsidRDefault="00043FF0">
            <w:pPr>
              <w:jc w:val="both"/>
              <w:rPr>
                <w:rFonts w:ascii="Calibri" w:hAnsi="Calibri" w:cs="Calibri"/>
              </w:rPr>
            </w:pPr>
          </w:p>
          <w:p w14:paraId="59313A8A" w14:textId="77777777" w:rsidR="00043FF0" w:rsidRDefault="005A0824">
            <w:pPr>
              <w:spacing w:after="0"/>
              <w:jc w:val="both"/>
              <w:rPr>
                <w:rFonts w:ascii="Calibri" w:eastAsia="Times New Roman" w:hAnsi="Calibri" w:cs="Times New Roman"/>
                <w:lang w:eastAsia="sk-SK"/>
              </w:rPr>
            </w:pPr>
            <w:r>
              <w:rPr>
                <w:rFonts w:ascii="Calibri" w:eastAsia="Times New Roman" w:hAnsi="Calibri"/>
                <w:i/>
                <w:iCs/>
                <w:lang w:eastAsia="sk-SK"/>
              </w:rPr>
              <w:t>In Slovakia, the public administration authorities apply laws that provide insufficient answers to the question of how they should proceed when inferring responsibility for administrative offences. Such a legislative situation leads to the illegality of decision-making in public administration and disproportionately shifts the burden of legal protection of persons to the courts. The situation in question is caused by the imbalance in the degree of adjustment of the rules regarding the hearing and punishment of individual categories of administrative offences. While the diversity of substantive liability regimes for individual categories is justified by the differences in the categories of administrative offences, the common public nature of administrative offenses requires a common procedural regulation of their hearing. The regulation should express the procedural rights of persons who are affected by the authority of public administration bodies when inferring administrative liability. Above all, the procedural status of the person accused of an administrative offense should be adjusted. His procedural rights should be established in a comprehensive and precise manner, at least to the extent guaranteed by the Constitution of the Slovak Republic and international treaties (especially Article 6 of the Convention for the Protection of Human Rights and Fundamental Freedoms).</w:t>
            </w:r>
          </w:p>
        </w:tc>
      </w:tr>
      <w:tr w:rsidR="00043FF0" w14:paraId="01323EC2" w14:textId="77777777">
        <w:trPr>
          <w:trHeight w:val="831"/>
        </w:trPr>
        <w:tc>
          <w:tcPr>
            <w:tcW w:w="0" w:type="auto"/>
            <w:shd w:val="clear" w:color="auto" w:fill="auto"/>
            <w:vAlign w:val="bottom"/>
          </w:tcPr>
          <w:p w14:paraId="1801FEB0" w14:textId="77777777" w:rsidR="00043FF0" w:rsidRDefault="00043FF0">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tcPr>
          <w:p w14:paraId="1F9473B7" w14:textId="77777777" w:rsidR="00043FF0" w:rsidRDefault="005A0824">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OCA19. </w:t>
            </w:r>
            <w:r>
              <w:rPr>
                <w:rFonts w:ascii="Calibri" w:eastAsia="Times New Roman" w:hAnsi="Calibri" w:cs="Times New Roman"/>
                <w:b/>
                <w:color w:val="000000"/>
                <w:lang w:eastAsia="sk-SK"/>
              </w:rPr>
              <w:t>Charakteristika dopadu výstupu a súvisiacich aktivít na vzdelávací proces</w:t>
            </w:r>
            <w:r>
              <w:rPr>
                <w:rFonts w:ascii="Calibri" w:eastAsia="Times New Roman" w:hAnsi="Calibri" w:cs="Times New Roman"/>
                <w:color w:val="000000"/>
                <w:lang w:eastAsia="sk-SK"/>
              </w:rPr>
              <w:t xml:space="preserve"> / Characteristics of the output and related activities' impact on the educational process</w:t>
            </w:r>
            <w:r>
              <w:rPr>
                <w:rFonts w:ascii="Calibri" w:eastAsia="Times New Roman" w:hAnsi="Calibri" w:cs="Times New Roman"/>
                <w:color w:val="000000"/>
                <w:lang w:eastAsia="sk-SK"/>
              </w:rPr>
              <w:br/>
            </w:r>
            <w:r>
              <w:rPr>
                <w:rFonts w:ascii="Calibri" w:eastAsia="Times New Roman" w:hAnsi="Calibri" w:cs="Times New Roman"/>
                <w:i/>
                <w:iCs/>
                <w:color w:val="808080"/>
                <w:lang w:eastAsia="sk-SK"/>
              </w:rPr>
              <w:t>Rozsah do 200 slov v slovenskom jazyku / Range up to 200 words in Slovak</w:t>
            </w:r>
            <w:r>
              <w:rPr>
                <w:rFonts w:ascii="Calibri" w:eastAsia="Times New Roman" w:hAnsi="Calibri" w:cs="Times New Roman"/>
                <w:i/>
                <w:iCs/>
                <w:color w:val="808080"/>
                <w:lang w:eastAsia="sk-SK"/>
              </w:rPr>
              <w:br/>
              <w:t>Rozsah do 200 slov v anglickom jazyku / Range up to 200 words in English</w:t>
            </w:r>
          </w:p>
        </w:tc>
        <w:tc>
          <w:tcPr>
            <w:tcW w:w="0" w:type="auto"/>
            <w:shd w:val="clear" w:color="auto" w:fill="auto"/>
          </w:tcPr>
          <w:p w14:paraId="1D27FBCA" w14:textId="77777777" w:rsidR="00043FF0" w:rsidRDefault="005A0824">
            <w:pPr>
              <w:spacing w:after="0"/>
              <w:jc w:val="both"/>
              <w:rPr>
                <w:rFonts w:ascii="Calibri" w:eastAsia="Times New Roman" w:hAnsi="Calibri" w:cs="Calibri"/>
                <w:lang w:eastAsia="sk-SK"/>
              </w:rPr>
            </w:pPr>
            <w:r>
              <w:rPr>
                <w:rFonts w:ascii="Calibri" w:eastAsia="Times New Roman" w:hAnsi="Calibri" w:cs="Calibri"/>
                <w:lang w:eastAsia="sk-SK"/>
              </w:rPr>
              <w:t>Vedeck</w:t>
            </w:r>
            <w:r>
              <w:rPr>
                <w:rFonts w:ascii="Calibri" w:eastAsia="Times New Roman" w:hAnsi="Calibri" w:cs="Calibri"/>
                <w:lang w:val="en-US" w:eastAsia="sk-SK"/>
              </w:rPr>
              <w:t xml:space="preserve">á monografia sa zaoberá problematikou z oblasti teórie práva - vyvodzovaním právnej zodpovednosti za verejnoprávne delikty. </w:t>
            </w:r>
            <w:r>
              <w:rPr>
                <w:rFonts w:ascii="Calibri" w:hAnsi="Calibri" w:cs="Calibri"/>
              </w:rPr>
              <w:t>Pod vplyvom uplatňovania medzinárodných zmlúv, ktorými je Slovenská republika viazaná, a pod vplyvom vnútroštátnej súdnej judikatúry, vznikla situácia, keď je potrebné prehodnotiť tak hmotnoprávnu, ako aj procesnoprávnu úpravu právomoci orgánov verejnej správy vyvodzovať administratívnoprávnu zodpovednosť, a to spôsobom, ktorý bude vyhovovať novým, moderným pohľadom na problematiku správneho trestania. Výrazný vplyv má rozhodovacia činnosť Európskeho súdu pre ľudské práva. Právne názory sa v tomto ohľade vyvíjajú a vyvolávajú tlak na prispôsobenie doterajšej formulácie zákonných pravidiel. Poznatky vyplývajúce z monografie možno priamo aplikovať vo</w:t>
            </w:r>
            <w:r>
              <w:rPr>
                <w:rFonts w:ascii="Calibri" w:eastAsia="Times New Roman" w:hAnsi="Calibri" w:cs="Calibri"/>
                <w:lang w:eastAsia="sk-SK"/>
              </w:rPr>
              <w:t xml:space="preserve"> vzdelávaco</w:t>
            </w:r>
            <w:r>
              <w:rPr>
                <w:rFonts w:ascii="Calibri" w:eastAsia="Times New Roman" w:hAnsi="Calibri" w:cs="Calibri"/>
                <w:lang w:val="en-US" w:eastAsia="sk-SK"/>
              </w:rPr>
              <w:t>m</w:t>
            </w:r>
            <w:r>
              <w:rPr>
                <w:rFonts w:ascii="Calibri" w:eastAsia="Times New Roman" w:hAnsi="Calibri" w:cs="Calibri"/>
                <w:lang w:eastAsia="sk-SK"/>
              </w:rPr>
              <w:t xml:space="preserve"> proces</w:t>
            </w:r>
            <w:r>
              <w:rPr>
                <w:rFonts w:ascii="Calibri" w:eastAsia="Times New Roman" w:hAnsi="Calibri" w:cs="Calibri"/>
                <w:lang w:val="en-US" w:eastAsia="sk-SK"/>
              </w:rPr>
              <w:t>e,</w:t>
            </w:r>
            <w:r>
              <w:rPr>
                <w:rFonts w:ascii="Calibri" w:eastAsia="Times New Roman" w:hAnsi="Calibri" w:cs="Calibri"/>
                <w:lang w:eastAsia="sk-SK"/>
              </w:rPr>
              <w:t xml:space="preserve"> pri písaní záverečných prác v prvom a druhom stupni štúdia, ale aj pri výskume v treťom stupni štúdia.   </w:t>
            </w:r>
          </w:p>
          <w:p w14:paraId="21F332BA" w14:textId="77777777" w:rsidR="00043FF0" w:rsidRDefault="00043FF0">
            <w:pPr>
              <w:spacing w:after="0"/>
              <w:jc w:val="both"/>
              <w:rPr>
                <w:rFonts w:ascii="Calibri" w:eastAsia="Times New Roman" w:hAnsi="Calibri" w:cs="Times New Roman"/>
                <w:lang w:eastAsia="sk-SK"/>
              </w:rPr>
            </w:pPr>
          </w:p>
          <w:p w14:paraId="09EDC1D8" w14:textId="77777777" w:rsidR="00043FF0" w:rsidRDefault="005A0824">
            <w:pPr>
              <w:spacing w:after="0"/>
              <w:jc w:val="both"/>
              <w:rPr>
                <w:rFonts w:ascii="Calibri" w:eastAsia="Times New Roman" w:hAnsi="Calibri" w:cs="Times New Roman"/>
                <w:lang w:eastAsia="sk-SK"/>
              </w:rPr>
            </w:pPr>
            <w:r>
              <w:rPr>
                <w:rFonts w:ascii="Calibri" w:eastAsia="SimSun" w:hAnsi="Calibri" w:cs="Calibri"/>
                <w:lang w:val="en-US"/>
              </w:rPr>
              <w:t xml:space="preserve">The scientific monograph deals with issues from the field of legal theory - inferring legal responsibility for public law offences. Under the influence of the application of international treaties to which the Slovak Republic is bound, and </w:t>
            </w:r>
            <w:r>
              <w:rPr>
                <w:rFonts w:ascii="Calibri" w:eastAsia="SimSun" w:hAnsi="Calibri" w:cs="Calibri"/>
                <w:lang w:val="en-US"/>
              </w:rPr>
              <w:lastRenderedPageBreak/>
              <w:t>under the influence of national court jurisprudence, a situation has arisen where it is necessary to reevaluate both the substantive and procedural law regulation of the authority of public administration bodies to derive administrative legal responsibility, in a way that will comply with the new, a modern view of the issue of administrative punishment. The decision-making activity of the European Court of Human Rights has a significant influence. Legal opinion is evolving in this regard, creating pressure to adapt the existing wording of statutory rules. The knowledge resulting from the monograph can be directly applied in the educational process, when writing final theses in the first and second degree of study, but also in research in the third degree of study.</w:t>
            </w:r>
          </w:p>
        </w:tc>
      </w:tr>
    </w:tbl>
    <w:p w14:paraId="7F9E504B" w14:textId="77777777" w:rsidR="00043FF0" w:rsidRDefault="00043FF0"/>
    <w:sectPr w:rsidR="00043FF0">
      <w:headerReference w:type="even" r:id="rId25"/>
      <w:headerReference w:type="default" r:id="rId26"/>
      <w:footerReference w:type="even" r:id="rId27"/>
      <w:footerReference w:type="default" r:id="rId28"/>
      <w:headerReference w:type="first" r:id="rId29"/>
      <w:footerReference w:type="first" r:id="rId30"/>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2E6EF" w14:textId="77777777" w:rsidR="00CF69F3" w:rsidRDefault="00CF69F3">
      <w:pPr>
        <w:spacing w:line="240" w:lineRule="auto"/>
      </w:pPr>
      <w:r>
        <w:separator/>
      </w:r>
    </w:p>
  </w:endnote>
  <w:endnote w:type="continuationSeparator" w:id="0">
    <w:p w14:paraId="7D8AEE5A" w14:textId="77777777" w:rsidR="00CF69F3" w:rsidRDefault="00CF69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75B4F" w14:textId="77777777" w:rsidR="00043FF0" w:rsidRDefault="00043FF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F2945" w14:textId="77777777" w:rsidR="00043FF0" w:rsidRDefault="005A0824">
    <w:pPr>
      <w:pStyle w:val="Pta"/>
    </w:pPr>
    <w:r>
      <w:t>T_Z_VTCAj_1/ 2020</w:t>
    </w:r>
  </w:p>
  <w:p w14:paraId="343F23B1" w14:textId="77777777" w:rsidR="00043FF0" w:rsidRDefault="00043FF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334DE" w14:textId="77777777" w:rsidR="00043FF0" w:rsidRDefault="00043FF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1C8D" w14:textId="77777777" w:rsidR="00CF69F3" w:rsidRDefault="00CF69F3">
      <w:pPr>
        <w:spacing w:after="0"/>
      </w:pPr>
      <w:r>
        <w:separator/>
      </w:r>
    </w:p>
  </w:footnote>
  <w:footnote w:type="continuationSeparator" w:id="0">
    <w:p w14:paraId="093ED7A0" w14:textId="77777777" w:rsidR="00CF69F3" w:rsidRDefault="00CF69F3">
      <w:pPr>
        <w:spacing w:after="0"/>
      </w:pPr>
      <w:r>
        <w:continuationSeparator/>
      </w:r>
    </w:p>
  </w:footnote>
  <w:footnote w:id="1">
    <w:p w14:paraId="30C4B2A9" w14:textId="77777777" w:rsidR="00043FF0" w:rsidRDefault="005A0824">
      <w:pPr>
        <w:pStyle w:val="Textpoznmkypodiarou"/>
        <w:ind w:left="-709" w:right="-426"/>
        <w:rPr>
          <w:sz w:val="18"/>
          <w:szCs w:val="18"/>
        </w:rPr>
      </w:pPr>
      <w:r>
        <w:rPr>
          <w:rStyle w:val="Odkaznapoznmkupodiarou"/>
          <w:sz w:val="18"/>
          <w:szCs w:val="18"/>
        </w:rPr>
        <w:footnoteRef/>
      </w:r>
      <w:r>
        <w:rPr>
          <w:sz w:val="18"/>
          <w:szCs w:val="18"/>
        </w:rPr>
        <w:t xml:space="preserve"> </w:t>
      </w:r>
      <w:r>
        <w:rPr>
          <w:rFonts w:ascii="Calibri" w:eastAsia="Times New Roman" w:hAnsi="Calibri" w:cs="Times New Roman"/>
          <w:color w:val="000000"/>
          <w:sz w:val="18"/>
          <w:szCs w:val="18"/>
          <w:lang w:eastAsia="sk-SK"/>
        </w:rPr>
        <w:t>Doplní agentúra / To be completed by the Agency.</w:t>
      </w:r>
    </w:p>
  </w:footnote>
  <w:footnote w:id="2">
    <w:p w14:paraId="0506B90B" w14:textId="77777777" w:rsidR="00043FF0" w:rsidRDefault="005A0824">
      <w:pPr>
        <w:pStyle w:val="Textpoznmkypodiarou"/>
        <w:ind w:left="-709" w:right="-426"/>
        <w:rPr>
          <w:sz w:val="18"/>
          <w:szCs w:val="18"/>
        </w:rPr>
      </w:pPr>
      <w:r>
        <w:rPr>
          <w:rStyle w:val="Odkaznapoznmkupodiarou"/>
          <w:sz w:val="18"/>
          <w:szCs w:val="18"/>
        </w:rPr>
        <w:footnoteRef/>
      </w:r>
      <w:r>
        <w:rPr>
          <w:sz w:val="18"/>
          <w:szCs w:val="18"/>
        </w:rPr>
        <w:t xml:space="preserve"> </w:t>
      </w:r>
      <w:r>
        <w:rPr>
          <w:rFonts w:ascii="Calibri" w:eastAsia="Times New Roman" w:hAnsi="Calibri" w:cs="Times New Roman"/>
          <w:color w:val="000000"/>
          <w:sz w:val="18"/>
          <w:szCs w:val="18"/>
          <w:lang w:eastAsia="sk-SK"/>
        </w:rPr>
        <w:t>Podľa čl. 20 Metodiky na vyhodnocovanie štandardov. / According to Art. 20 of the Methodology for Standards Evaluation.</w:t>
      </w:r>
    </w:p>
  </w:footnote>
  <w:footnote w:id="3">
    <w:p w14:paraId="6DF57E96" w14:textId="77777777" w:rsidR="00043FF0" w:rsidRDefault="005A0824">
      <w:pPr>
        <w:pStyle w:val="Textpoznmkypodiarou"/>
        <w:ind w:left="-709" w:right="-426"/>
        <w:rPr>
          <w:sz w:val="18"/>
          <w:szCs w:val="18"/>
        </w:rPr>
      </w:pPr>
      <w:r>
        <w:rPr>
          <w:rStyle w:val="Odkaznapoznmkupodiarou"/>
          <w:sz w:val="18"/>
          <w:szCs w:val="18"/>
        </w:rPr>
        <w:footnoteRef/>
      </w:r>
      <w:r>
        <w:rPr>
          <w:sz w:val="18"/>
          <w:szCs w:val="18"/>
        </w:rPr>
        <w:t xml:space="preserve"> </w:t>
      </w:r>
      <w:r>
        <w:rPr>
          <w:rFonts w:ascii="Calibri" w:eastAsia="Times New Roman" w:hAnsi="Calibri" w:cs="Times New Roman"/>
          <w:color w:val="000000"/>
          <w:sz w:val="18"/>
          <w:szCs w:val="18"/>
          <w:lang w:eastAsia="sk-SK"/>
        </w:rPr>
        <w:t>Uvedie sa hyperlink na záznam osoby v Registri zamestnancov vysokých škôl: https://www.portalvs.sk/regzam.  / A hyperlink to the person's entry in the Register of University Staff is stated: https://www.portalvs.sk/regzam.</w:t>
      </w:r>
    </w:p>
  </w:footnote>
  <w:footnote w:id="4">
    <w:p w14:paraId="7E06250B" w14:textId="77777777" w:rsidR="00043FF0" w:rsidRDefault="005A0824">
      <w:pPr>
        <w:pStyle w:val="Textpoznmkypodiarou"/>
        <w:ind w:left="-709" w:right="-426"/>
        <w:rPr>
          <w:sz w:val="18"/>
          <w:szCs w:val="18"/>
        </w:rPr>
      </w:pPr>
      <w:r>
        <w:rPr>
          <w:rStyle w:val="Odkaznapoznmkupodiarou"/>
          <w:sz w:val="18"/>
          <w:szCs w:val="18"/>
        </w:rPr>
        <w:footnoteRef/>
      </w:r>
      <w:r>
        <w:rPr>
          <w:sz w:val="18"/>
          <w:szCs w:val="18"/>
        </w:rPr>
        <w:t xml:space="preserve"> </w:t>
      </w:r>
      <w:r>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Pr>
          <w:rFonts w:ascii="Calibri" w:eastAsia="Times New Roman" w:hAnsi="Calibri" w:cs="Times New Roman"/>
          <w:color w:val="000000"/>
          <w:sz w:val="18"/>
          <w:szCs w:val="18"/>
          <w:lang w:eastAsia="sk-SK"/>
        </w:rPr>
        <w:br/>
        <w:t>/ The name and degree of the study programme or the name of the field of the habilitation procedure and inaugural procedure according to the type of procedure is be stated.</w:t>
      </w:r>
    </w:p>
  </w:footnote>
  <w:footnote w:id="5">
    <w:p w14:paraId="4CC80E35" w14:textId="77777777" w:rsidR="00043FF0" w:rsidRDefault="005A0824">
      <w:pPr>
        <w:pStyle w:val="Textpoznmkypodiarou"/>
        <w:ind w:left="-709" w:right="-426"/>
        <w:rPr>
          <w:sz w:val="18"/>
          <w:szCs w:val="18"/>
        </w:rPr>
      </w:pPr>
      <w:r>
        <w:rPr>
          <w:rStyle w:val="Odkaznapoznmkupodiarou"/>
          <w:sz w:val="18"/>
          <w:szCs w:val="18"/>
        </w:rPr>
        <w:footnoteRef/>
      </w:r>
      <w:r>
        <w:rPr>
          <w:sz w:val="18"/>
          <w:szCs w:val="18"/>
        </w:rPr>
        <w:t xml:space="preserve"> </w:t>
      </w:r>
      <w:r>
        <w:rPr>
          <w:rFonts w:ascii="Calibri" w:eastAsia="Times New Roman" w:hAnsi="Calibri" w:cs="Times New Roman"/>
          <w:color w:val="000000"/>
          <w:sz w:val="18"/>
          <w:szCs w:val="18"/>
          <w:lang w:eastAsia="sk-SK"/>
        </w:rPr>
        <w:t>Uvádza sa ID záznamu v registri CREPČ alebo CREUČ. / The ID of the record in the CRPA or the CRAA is stated.</w:t>
      </w:r>
    </w:p>
  </w:footnote>
  <w:footnote w:id="6">
    <w:p w14:paraId="31D5E0CB" w14:textId="77777777" w:rsidR="00043FF0" w:rsidRDefault="005A0824">
      <w:pPr>
        <w:pStyle w:val="Textpoznmkypodiarou"/>
        <w:ind w:left="-709" w:right="-426"/>
        <w:rPr>
          <w:sz w:val="18"/>
          <w:szCs w:val="18"/>
        </w:rPr>
      </w:pPr>
      <w:r>
        <w:rPr>
          <w:rStyle w:val="Odkaznapoznmkupodiarou"/>
          <w:sz w:val="18"/>
          <w:szCs w:val="18"/>
        </w:rPr>
        <w:footnoteRef/>
      </w:r>
      <w:r>
        <w:rPr>
          <w:sz w:val="18"/>
          <w:szCs w:val="18"/>
        </w:rPr>
        <w:t xml:space="preserve"> </w:t>
      </w:r>
      <w:r>
        <w:rPr>
          <w:rFonts w:ascii="Calibri" w:eastAsia="Times New Roman" w:hAnsi="Calibri" w:cs="Times New Roman"/>
          <w:color w:val="000000"/>
          <w:sz w:val="18"/>
          <w:szCs w:val="18"/>
          <w:lang w:eastAsia="sk-SK"/>
        </w:rPr>
        <w:t>Uvádza sa hyperlink na záznam výstupu v CREPČ alebo CREUČ, ktoré sú umiestnené na adrese: https://cms.crepc.sk.  / A hyperlink to the output record in the CRPA or the CRAA, which are available at https://cms.crepc.sk/, is stated.</w:t>
      </w:r>
    </w:p>
  </w:footnote>
  <w:footnote w:id="7">
    <w:p w14:paraId="751DA7E8" w14:textId="77777777" w:rsidR="00043FF0" w:rsidRDefault="005A0824">
      <w:pPr>
        <w:pStyle w:val="Textpoznmkypodiarou"/>
        <w:ind w:left="-709" w:right="-426"/>
        <w:rPr>
          <w:sz w:val="18"/>
          <w:szCs w:val="18"/>
        </w:rPr>
      </w:pPr>
      <w:r>
        <w:rPr>
          <w:rStyle w:val="Odkaznapoznmkupodiarou"/>
          <w:sz w:val="18"/>
          <w:szCs w:val="18"/>
        </w:rPr>
        <w:footnoteRef/>
      </w:r>
      <w:r>
        <w:rPr>
          <w:sz w:val="18"/>
          <w:szCs w:val="18"/>
        </w:rPr>
        <w:t xml:space="preserve"> </w:t>
      </w:r>
      <w:r>
        <w:rPr>
          <w:rFonts w:ascii="Calibri" w:eastAsia="Times New Roman" w:hAnsi="Calibri" w:cs="Times New Roman"/>
          <w:color w:val="000000"/>
          <w:sz w:val="18"/>
          <w:szCs w:val="18"/>
          <w:lang w:eastAsia="sk-SK"/>
        </w:rPr>
        <w:t>Napríklad katalóg publikačnej činnosti SAV, WoS, Scopus a pod. / For example, the catalogue of publication activities of the Slovak Academy of Sciences (SAS), WoS, Scopus, etc.</w:t>
      </w:r>
    </w:p>
  </w:footnote>
  <w:footnote w:id="8">
    <w:p w14:paraId="0DBF5929" w14:textId="77777777" w:rsidR="00043FF0" w:rsidRDefault="005A0824">
      <w:pPr>
        <w:pStyle w:val="Textpoznmkypodiarou"/>
        <w:ind w:left="-709" w:right="-426"/>
        <w:rPr>
          <w:sz w:val="18"/>
          <w:szCs w:val="18"/>
        </w:rPr>
      </w:pPr>
      <w:r>
        <w:rPr>
          <w:rStyle w:val="Odkaznapoznmkupodiarou"/>
          <w:sz w:val="18"/>
          <w:szCs w:val="18"/>
        </w:rPr>
        <w:footnoteRef/>
      </w:r>
      <w:r>
        <w:rPr>
          <w:sz w:val="18"/>
          <w:szCs w:val="18"/>
        </w:rPr>
        <w:t xml:space="preserve"> </w:t>
      </w:r>
      <w:r>
        <w:rPr>
          <w:rFonts w:ascii="Calibri" w:eastAsia="Times New Roman" w:hAnsi="Calibri" w:cs="Times New Roman"/>
          <w:color w:val="000000"/>
          <w:sz w:val="18"/>
          <w:szCs w:val="18"/>
          <w:lang w:eastAsia="sk-SK"/>
        </w:rPr>
        <w:t>Uvádza sa v prípade netextových výstupov, ak to z povahy výstupu nie je zrejmé. Uvedie sa anotácia výstupu s kontextovými informáciami týkajúcimi sa opisu tvorivého procesu a obsahu tvorivej činnosti a pod. / It is stated in the case of non-text outputs if it is not obvious from the nature of the output. Annotation of the output is provided with contextual information concerning the description of the creative process and the content of the research/artistic/other activity, etc.</w:t>
      </w:r>
    </w:p>
  </w:footnote>
  <w:footnote w:id="9">
    <w:p w14:paraId="00CC2056" w14:textId="77777777" w:rsidR="00043FF0" w:rsidRDefault="005A0824">
      <w:pPr>
        <w:pStyle w:val="Textpoznmkypodiarou"/>
        <w:ind w:left="-709" w:right="-426"/>
        <w:rPr>
          <w:sz w:val="18"/>
          <w:szCs w:val="18"/>
        </w:rPr>
      </w:pPr>
      <w:r>
        <w:rPr>
          <w:rStyle w:val="Odkaznapoznmkupodiarou"/>
          <w:sz w:val="18"/>
          <w:szCs w:val="18"/>
        </w:rPr>
        <w:footnoteRef/>
      </w:r>
      <w:r>
        <w:rPr>
          <w:sz w:val="18"/>
          <w:szCs w:val="18"/>
        </w:rPr>
        <w:t xml:space="preserve"> </w:t>
      </w:r>
      <w:r>
        <w:rPr>
          <w:rFonts w:ascii="Calibri" w:eastAsia="Times New Roman" w:hAnsi="Calibri" w:cs="Times New Roman"/>
          <w:color w:val="000000"/>
          <w:sz w:val="18"/>
          <w:szCs w:val="18"/>
          <w:lang w:eastAsia="sk-SK"/>
        </w:rPr>
        <w:t>Uvádza sa v prípade, ak je výstup uverejnený v inom ako anglickom jazyku. Uvedie sa anotácia výstupu v anglickom jazyku, v ktorej sa stručne charakterizuje povaha, obsah a hlavné výsledky výstupu. / It is stated in case the output is published in a language other than English. Annotation of the output in English is provided, briefly characterizing the nature, content and main results of the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6AA96" w14:textId="77777777" w:rsidR="00043FF0" w:rsidRDefault="00043FF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4B1FB" w14:textId="77777777" w:rsidR="00043FF0" w:rsidRDefault="005A0824">
    <w:pPr>
      <w:pStyle w:val="Hlavika"/>
      <w:jc w:val="center"/>
    </w:pPr>
    <w:r>
      <w:rPr>
        <w:noProof/>
        <w:lang w:eastAsia="sk-SK"/>
      </w:rPr>
      <w:drawing>
        <wp:anchor distT="0" distB="0" distL="114300" distR="114300" simplePos="0" relativeHeight="251659264" behindDoc="1" locked="0" layoutInCell="1" allowOverlap="1" wp14:anchorId="3FAFD512" wp14:editId="5BCB5A69">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71500" cy="570230"/>
                  </a:xfrm>
                  <a:prstGeom prst="rect">
                    <a:avLst/>
                  </a:prstGeom>
                  <a:noFill/>
                  <a:ln>
                    <a:noFill/>
                  </a:ln>
                </pic:spPr>
              </pic:pic>
            </a:graphicData>
          </a:graphic>
        </wp:anchor>
      </w:drawing>
    </w:r>
    <w:r>
      <w:t>Trnavská univerzita v Trnave, Právnická fakulta</w:t>
    </w:r>
  </w:p>
  <w:p w14:paraId="38ACEBF6" w14:textId="77777777" w:rsidR="00043FF0" w:rsidRDefault="00043FF0">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D23EA" w14:textId="77777777" w:rsidR="00043FF0" w:rsidRDefault="00043FF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5CBD"/>
    <w:rsid w:val="00043FF0"/>
    <w:rsid w:val="000457F6"/>
    <w:rsid w:val="0007382B"/>
    <w:rsid w:val="0008088C"/>
    <w:rsid w:val="00087B3E"/>
    <w:rsid w:val="000D1F22"/>
    <w:rsid w:val="000E773A"/>
    <w:rsid w:val="00102D82"/>
    <w:rsid w:val="00112F47"/>
    <w:rsid w:val="00164643"/>
    <w:rsid w:val="001A42DD"/>
    <w:rsid w:val="001D03F4"/>
    <w:rsid w:val="001F26CD"/>
    <w:rsid w:val="00222794"/>
    <w:rsid w:val="00242C6E"/>
    <w:rsid w:val="00270829"/>
    <w:rsid w:val="002E6FE9"/>
    <w:rsid w:val="00317E93"/>
    <w:rsid w:val="003345F2"/>
    <w:rsid w:val="00371087"/>
    <w:rsid w:val="00387CE6"/>
    <w:rsid w:val="003E03CB"/>
    <w:rsid w:val="004173E3"/>
    <w:rsid w:val="0042152F"/>
    <w:rsid w:val="00422600"/>
    <w:rsid w:val="004358A8"/>
    <w:rsid w:val="004656F6"/>
    <w:rsid w:val="004776A7"/>
    <w:rsid w:val="004D5CBD"/>
    <w:rsid w:val="004E4845"/>
    <w:rsid w:val="004F0879"/>
    <w:rsid w:val="004F5815"/>
    <w:rsid w:val="00502F15"/>
    <w:rsid w:val="00532FE9"/>
    <w:rsid w:val="005517AF"/>
    <w:rsid w:val="00572798"/>
    <w:rsid w:val="005A0824"/>
    <w:rsid w:val="005D6234"/>
    <w:rsid w:val="00675F63"/>
    <w:rsid w:val="006849EB"/>
    <w:rsid w:val="006A4D7B"/>
    <w:rsid w:val="0073087F"/>
    <w:rsid w:val="007353ED"/>
    <w:rsid w:val="0074791C"/>
    <w:rsid w:val="007846F8"/>
    <w:rsid w:val="007D43B7"/>
    <w:rsid w:val="00811C62"/>
    <w:rsid w:val="00816E73"/>
    <w:rsid w:val="008471D2"/>
    <w:rsid w:val="00852CC7"/>
    <w:rsid w:val="00881702"/>
    <w:rsid w:val="00884925"/>
    <w:rsid w:val="008B78D7"/>
    <w:rsid w:val="008E2108"/>
    <w:rsid w:val="008E4E58"/>
    <w:rsid w:val="00935AD0"/>
    <w:rsid w:val="00950EFB"/>
    <w:rsid w:val="009547F9"/>
    <w:rsid w:val="00974311"/>
    <w:rsid w:val="00975300"/>
    <w:rsid w:val="00980601"/>
    <w:rsid w:val="009A5365"/>
    <w:rsid w:val="00A10B6E"/>
    <w:rsid w:val="00A23768"/>
    <w:rsid w:val="00A44E1E"/>
    <w:rsid w:val="00A44F05"/>
    <w:rsid w:val="00A95EE7"/>
    <w:rsid w:val="00AF5EF9"/>
    <w:rsid w:val="00B15040"/>
    <w:rsid w:val="00B34A5D"/>
    <w:rsid w:val="00B64BE9"/>
    <w:rsid w:val="00BA1526"/>
    <w:rsid w:val="00BF314A"/>
    <w:rsid w:val="00C16FE2"/>
    <w:rsid w:val="00C40D4D"/>
    <w:rsid w:val="00C86832"/>
    <w:rsid w:val="00CF69F3"/>
    <w:rsid w:val="00D64B7C"/>
    <w:rsid w:val="00D733AB"/>
    <w:rsid w:val="00D81D79"/>
    <w:rsid w:val="00DA3A7D"/>
    <w:rsid w:val="00DC4C52"/>
    <w:rsid w:val="00DD0483"/>
    <w:rsid w:val="00DF77E6"/>
    <w:rsid w:val="00E8454F"/>
    <w:rsid w:val="00EC403D"/>
    <w:rsid w:val="00EC4DA2"/>
    <w:rsid w:val="00F165AB"/>
    <w:rsid w:val="00FD3448"/>
    <w:rsid w:val="00FE27EC"/>
    <w:rsid w:val="00FF6B5A"/>
    <w:rsid w:val="03F26968"/>
    <w:rsid w:val="0B18057B"/>
    <w:rsid w:val="169C2E4C"/>
    <w:rsid w:val="1B41258E"/>
    <w:rsid w:val="28B561FC"/>
    <w:rsid w:val="57E123CF"/>
    <w:rsid w:val="58D37F01"/>
    <w:rsid w:val="6279342D"/>
    <w:rsid w:val="68A15B34"/>
    <w:rsid w:val="69B41FB1"/>
    <w:rsid w:val="6AB62785"/>
    <w:rsid w:val="6F622820"/>
    <w:rsid w:val="71E77952"/>
    <w:rsid w:val="7F5E3289"/>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A59F5"/>
  <w15:docId w15:val="{06CD7AE3-AA3B-4A3A-9BA6-2D4CAB9C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60" w:line="259" w:lineRule="auto"/>
    </w:pPr>
    <w:rPr>
      <w:rFonts w:asciiTheme="minorHAnsi" w:eastAsiaTheme="minorHAnsi" w:hAnsiTheme="minorHAnsi" w:cstheme="minorBidi"/>
      <w:sz w:val="22"/>
      <w:szCs w:val="22"/>
      <w:lang w:eastAsia="en-US"/>
    </w:rPr>
  </w:style>
  <w:style w:type="paragraph" w:styleId="Nadpis3">
    <w:name w:val="heading 3"/>
    <w:basedOn w:val="Normlny"/>
    <w:link w:val="Nadpis3Char"/>
    <w:uiPriority w:val="9"/>
    <w:qFormat/>
    <w:rsid w:val="00B64BE9"/>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pPr>
      <w:spacing w:after="0" w:line="240" w:lineRule="auto"/>
    </w:pPr>
    <w:rPr>
      <w:rFonts w:ascii="Tahoma" w:hAnsi="Tahoma" w:cs="Tahoma"/>
      <w:sz w:val="16"/>
      <w:szCs w:val="16"/>
    </w:rPr>
  </w:style>
  <w:style w:type="paragraph" w:styleId="Pta">
    <w:name w:val="footer"/>
    <w:basedOn w:val="Normlny"/>
    <w:link w:val="PtaChar"/>
    <w:uiPriority w:val="99"/>
    <w:unhideWhenUsed/>
    <w:pPr>
      <w:tabs>
        <w:tab w:val="center" w:pos="4536"/>
        <w:tab w:val="right" w:pos="9072"/>
      </w:tabs>
      <w:spacing w:after="0" w:line="240" w:lineRule="auto"/>
    </w:pPr>
  </w:style>
  <w:style w:type="character" w:styleId="Odkaznapoznmkupodiarou">
    <w:name w:val="footnote reference"/>
    <w:basedOn w:val="Predvolenpsmoodseku"/>
    <w:uiPriority w:val="99"/>
    <w:semiHidden/>
    <w:unhideWhenUsed/>
    <w:rPr>
      <w:vertAlign w:val="superscript"/>
    </w:rPr>
  </w:style>
  <w:style w:type="paragraph" w:styleId="Textpoznmkypodiarou">
    <w:name w:val="footnote text"/>
    <w:basedOn w:val="Normlny"/>
    <w:link w:val="TextpoznmkypodiarouChar"/>
    <w:uiPriority w:val="99"/>
    <w:semiHidden/>
    <w:unhideWhenUsed/>
    <w:pPr>
      <w:spacing w:after="0" w:line="240" w:lineRule="auto"/>
    </w:pPr>
    <w:rPr>
      <w:sz w:val="20"/>
      <w:szCs w:val="20"/>
    </w:rPr>
  </w:style>
  <w:style w:type="paragraph" w:styleId="Hlavika">
    <w:name w:val="header"/>
    <w:basedOn w:val="Normlny"/>
    <w:link w:val="HlavikaChar"/>
    <w:uiPriority w:val="99"/>
    <w:unhideWhenUsed/>
    <w:pPr>
      <w:tabs>
        <w:tab w:val="center" w:pos="4536"/>
        <w:tab w:val="right" w:pos="9072"/>
      </w:tabs>
      <w:spacing w:after="0" w:line="240" w:lineRule="auto"/>
    </w:pPr>
  </w:style>
  <w:style w:type="character" w:styleId="Hypertextovprepojenie">
    <w:name w:val="Hyperlink"/>
    <w:basedOn w:val="Predvolenpsmoodseku"/>
    <w:uiPriority w:val="99"/>
    <w:unhideWhenUsed/>
    <w:rPr>
      <w:color w:val="0563C1"/>
      <w:u w:val="single"/>
    </w:rPr>
  </w:style>
  <w:style w:type="paragraph" w:styleId="Normlnywebov">
    <w:name w:val="Normal (Web)"/>
    <w:basedOn w:val="Normlny"/>
    <w:uiPriority w:val="99"/>
    <w:semiHidden/>
    <w:unhideWhenUsed/>
    <w:rPr>
      <w:rFonts w:ascii="Times New Roman" w:hAnsi="Times New Roman" w:cs="Times New Roman"/>
      <w:sz w:val="24"/>
      <w:szCs w:val="24"/>
    </w:rPr>
  </w:style>
  <w:style w:type="character" w:styleId="Vrazn">
    <w:name w:val="Strong"/>
    <w:basedOn w:val="Predvolenpsmoodseku"/>
    <w:uiPriority w:val="22"/>
    <w:qFormat/>
    <w:rPr>
      <w:b/>
      <w:bCs/>
    </w:rPr>
  </w:style>
  <w:style w:type="character" w:customStyle="1" w:styleId="HlavikaChar">
    <w:name w:val="Hlavička Char"/>
    <w:basedOn w:val="Predvolenpsmoodseku"/>
    <w:link w:val="Hlavika"/>
    <w:uiPriority w:val="99"/>
    <w:qFormat/>
  </w:style>
  <w:style w:type="character" w:customStyle="1" w:styleId="PtaChar">
    <w:name w:val="Päta Char"/>
    <w:basedOn w:val="Predvolenpsmoodseku"/>
    <w:link w:val="Pta"/>
    <w:uiPriority w:val="99"/>
  </w:style>
  <w:style w:type="character" w:customStyle="1" w:styleId="TextpoznmkypodiarouChar">
    <w:name w:val="Text poznámky pod čiarou Char"/>
    <w:basedOn w:val="Predvolenpsmoodseku"/>
    <w:link w:val="Textpoznmkypodiarou"/>
    <w:uiPriority w:val="99"/>
    <w:semiHidden/>
    <w:rPr>
      <w:sz w:val="20"/>
      <w:szCs w:val="20"/>
    </w:rPr>
  </w:style>
  <w:style w:type="character" w:customStyle="1" w:styleId="normaltextrun">
    <w:name w:val="normaltextrun"/>
    <w:basedOn w:val="Predvolenpsmoodseku"/>
    <w:qFormat/>
  </w:style>
  <w:style w:type="character" w:customStyle="1" w:styleId="spellingerror">
    <w:name w:val="spellingerror"/>
    <w:basedOn w:val="Predvolenpsmoodseku"/>
  </w:style>
  <w:style w:type="character" w:customStyle="1" w:styleId="eop">
    <w:name w:val="eop"/>
    <w:basedOn w:val="Predvolenpsmoodseku"/>
  </w:style>
  <w:style w:type="character" w:customStyle="1" w:styleId="apple-converted-space">
    <w:name w:val="apple-converted-space"/>
    <w:basedOn w:val="Predvolenpsmoodseku"/>
  </w:style>
  <w:style w:type="character" w:customStyle="1" w:styleId="Nevyrieenzmienka1">
    <w:name w:val="Nevyriešená zmienka1"/>
    <w:basedOn w:val="Predvolenpsmoodseku"/>
    <w:uiPriority w:val="99"/>
    <w:semiHidden/>
    <w:unhideWhenUsed/>
    <w:rPr>
      <w:color w:val="605E5C"/>
      <w:shd w:val="clear" w:color="auto" w:fill="E1DFDD"/>
    </w:rPr>
  </w:style>
  <w:style w:type="character" w:customStyle="1" w:styleId="TextbublinyChar">
    <w:name w:val="Text bubliny Char"/>
    <w:basedOn w:val="Predvolenpsmoodseku"/>
    <w:link w:val="Textbubliny"/>
    <w:uiPriority w:val="99"/>
    <w:semiHidden/>
    <w:rPr>
      <w:rFonts w:ascii="Tahoma" w:hAnsi="Tahoma" w:cs="Tahoma"/>
      <w:sz w:val="16"/>
      <w:szCs w:val="16"/>
    </w:rPr>
  </w:style>
  <w:style w:type="character" w:styleId="Nevyrieenzmienka">
    <w:name w:val="Unresolved Mention"/>
    <w:basedOn w:val="Predvolenpsmoodseku"/>
    <w:uiPriority w:val="99"/>
    <w:semiHidden/>
    <w:unhideWhenUsed/>
    <w:rsid w:val="00B64BE9"/>
    <w:rPr>
      <w:color w:val="605E5C"/>
      <w:shd w:val="clear" w:color="auto" w:fill="E1DFDD"/>
    </w:rPr>
  </w:style>
  <w:style w:type="character" w:styleId="PouitHypertextovPrepojenie">
    <w:name w:val="FollowedHyperlink"/>
    <w:basedOn w:val="Predvolenpsmoodseku"/>
    <w:uiPriority w:val="99"/>
    <w:semiHidden/>
    <w:unhideWhenUsed/>
    <w:rsid w:val="00B64BE9"/>
    <w:rPr>
      <w:color w:val="954F72" w:themeColor="followedHyperlink"/>
      <w:u w:val="single"/>
    </w:rPr>
  </w:style>
  <w:style w:type="character" w:customStyle="1" w:styleId="Nadpis3Char">
    <w:name w:val="Nadpis 3 Char"/>
    <w:basedOn w:val="Predvolenpsmoodseku"/>
    <w:link w:val="Nadpis3"/>
    <w:uiPriority w:val="9"/>
    <w:rsid w:val="00B64BE9"/>
    <w:rPr>
      <w:rFonts w:eastAsia="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2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E:\_Docs%20&amp;amp;%20Rozne\DOC\Doc\Zbornik&amp;amp;Doc\Nov&#253;\Nov&#253;_doc\__Webstr\z_POM\Doc\Nov&#253;\Hodnot%20sprava\Intranet\IMG%20web\Nov&#253;%20prie&#269;inok\T_Z_VTC_SjAj_1-2020.xlsx" TargetMode="External"/><Relationship Id="rId18" Type="http://schemas.openxmlformats.org/officeDocument/2006/relationships/hyperlink" Target="file:///E:\_Docs%20&amp;amp;%20Rozne\DOC\Doc\Zbornik&amp;amp;Doc\Nov&#253;\Nov&#253;_doc\__Webstr\z_POM\Doc\Nov&#253;\Hodnot%20sprava\Intranet\IMG%20web\Nov&#253;%20prie&#269;inok\T_Z_VTC_SjAj_1-2020.xlsx"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file:///E:\_Docs%20&amp;amp;%20Rozne\DOC\Doc\Zbornik&amp;amp;Doc\Nov&#253;\Nov&#253;_doc\__Webstr\z_POM\Doc\Nov&#253;\Hodnot%20sprava\Intranet\IMG%20web\Nov&#253;%20prie&#269;inok\T_Z_VTC_SjAj_1-2020.xlsx" TargetMode="External"/><Relationship Id="rId7" Type="http://schemas.openxmlformats.org/officeDocument/2006/relationships/settings" Target="settings.xml"/><Relationship Id="rId12" Type="http://schemas.openxmlformats.org/officeDocument/2006/relationships/hyperlink" Target="file:///E:\_Docs%20&amp;amp;%20Rozne\DOC\Doc\Zbornik&amp;amp;Doc\Nov&#253;\Nov&#253;_doc\__Webstr\z_POM\Doc\Nov&#253;\Hodnot%20sprava\Intranet\IMG%20web\Nov&#253;%20prie&#269;inok\T_Z_VTC_SjAj_1-2020.xlsx" TargetMode="External"/><Relationship Id="rId17" Type="http://schemas.openxmlformats.org/officeDocument/2006/relationships/hyperlink" Target="file:///E:\_Docs%20&amp;amp;%20Rozne\DOC\Doc\Zbornik&amp;amp;Doc\Nov&#253;\Nov&#253;_doc\__Webstr\z_POM\Doc\Nov&#253;\Hodnot%20sprava\Intranet\IMG%20web\Nov&#253;%20prie&#269;inok\T_Z_VTC_SjAj_1-2020.xlsx"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E:\_Docs%20&amp;amp;%20Rozne\DOC\Doc\Zbornik&amp;amp;Doc\Nov&#253;\Nov&#253;_doc\__Webstr\z_POM\Doc\Nov&#253;\Hodnot%20sprava\Intranet\IMG%20web\Nov&#253;%20prie&#269;inok\T_Z_VTC_SjAj_1-2020.xlsx" TargetMode="External"/><Relationship Id="rId20" Type="http://schemas.openxmlformats.org/officeDocument/2006/relationships/hyperlink" Target="https://app.crepc.sk/?fn=detailBiblioForm&amp;sid=36B56AEA95B56E9F68E16E5F31"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_Docs%20&amp;amp;%20Rozne\DOC\Doc\Zbornik&amp;amp;Doc\Nov&#253;\Nov&#253;_doc\__Webstr\z_POM\Doc\Nov&#253;\Hodnot%20sprava\Intranet\IMG%20web\Nov&#253;%20prie&#269;inok\T_Z_VTC_SjAj_1-2020.xlsx" TargetMode="External"/><Relationship Id="rId24" Type="http://schemas.openxmlformats.org/officeDocument/2006/relationships/hyperlink" Target="file:///E:\_Docs%20&amp;amp;%20Rozne\DOC\Doc\Zbornik&amp;amp;Doc\Nov&#253;\Nov&#253;_doc\__Webstr\z_POM\Doc\Nov&#253;\Hodnot%20sprava\Intranet\IMG%20web\Nov&#253;%20prie&#269;inok\T_Z_VTC_SjAj_1-2020.xlsx"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E:\_Docs%20&amp;amp;%20Rozne\DOC\Doc\Zbornik&amp;amp;Doc\Nov&#253;\Nov&#253;_doc\__Webstr\z_POM\Doc\Nov&#253;\Hodnot%20sprava\Intranet\IMG%20web\Nov&#253;%20prie&#269;inok\T_Z_VTC_SjAj_1-2020.xlsx" TargetMode="External"/><Relationship Id="rId23" Type="http://schemas.openxmlformats.org/officeDocument/2006/relationships/hyperlink" Target="file:///E:\_Docs%20&amp;amp;%20Rozne\DOC\Doc\Zbornik&amp;amp;Doc\Nov&#253;\Nov&#253;_doc\__Webstr\z_POM\Doc\Nov&#253;\Hodnot%20sprava\Intranet\IMG%20web\Nov&#253;%20prie&#269;inok\T_Z_VTC_SjAj_1-2020.xlsx"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file:///E:\_Docs%20&amp;amp;%20Rozne\DOC\Doc\Zbornik&amp;amp;Doc\Nov&#253;\Nov&#253;_doc\__Webstr\z_POM\Doc\Nov&#253;\Hodnot%20sprava\Intranet\IMG%20web\Nov&#253;%20prie&#269;inok\T_Z_VTC_SjAj_1-2020.xls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E:\_Docs%20&amp;amp;%20Rozne\DOC\Doc\Zbornik&amp;amp;Doc\Nov&#253;\Nov&#253;_doc\__Webstr\z_POM\Doc\Nov&#253;\Hodnot%20sprava\Intranet\IMG%20web\Nov&#253;%20prie&#269;inok\T_Z_VTC_SjAj_1-2020.xlsx" TargetMode="External"/><Relationship Id="rId22" Type="http://schemas.openxmlformats.org/officeDocument/2006/relationships/hyperlink" Target="file:///E:\_Docs%20&amp;amp;%20Rozne\DOC\Doc\Zbornik&amp;amp;Doc\Nov&#253;\Nov&#253;_doc\__Webstr\z_POM\Doc\Nov&#253;\Hodnot%20sprava\Intranet\IMG%20web\Nov&#253;%20prie&#269;inok\T_Z_VTC_SjAj_1-2020.xlsx"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3037FBFA494A54B9972E5B2EB3B16FC" ma:contentTypeVersion="0" ma:contentTypeDescription="Umožňuje vytvoriť nový dokument." ma:contentTypeScope="" ma:versionID="a07172c59a42fe1c378c81a29cbf877e">
  <xsd:schema xmlns:xsd="http://www.w3.org/2001/XMLSchema" xmlns:xs="http://www.w3.org/2001/XMLSchema" xmlns:p="http://schemas.microsoft.com/office/2006/metadata/properties" targetNamespace="http://schemas.microsoft.com/office/2006/metadata/properties" ma:root="true" ma:fieldsID="62ffd0f42943e496e21980a7bc59f7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1FB08-90E1-42A8-BC53-7D2315995D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2C2448-FB16-462A-B802-C7AABBD1C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3468AF4-3965-415E-8A75-51CB99C600EE}">
  <ds:schemaRefs>
    <ds:schemaRef ds:uri="http://schemas.microsoft.com/sharepoint/v3/contenttype/forms"/>
  </ds:schemaRefs>
</ds:datastoreItem>
</file>

<file path=customXml/itemProps5.xml><?xml version="1.0" encoding="utf-8"?>
<ds:datastoreItem xmlns:ds="http://schemas.openxmlformats.org/officeDocument/2006/customXml" ds:itemID="{0F40F6D0-AD9E-45D5-810C-2D91EF8C0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2366</Words>
  <Characters>13489</Characters>
  <Application>Microsoft Office Word</Application>
  <DocSecurity>0</DocSecurity>
  <Lines>112</Lines>
  <Paragraphs>31</Paragraphs>
  <ScaleCrop>false</ScaleCrop>
  <Company>Trnavska univerzita</Company>
  <LinksUpToDate>false</LinksUpToDate>
  <CharactersWithSpaces>15824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Brestovanská Daniela</cp:lastModifiedBy>
  <cp:revision>7</cp:revision>
  <dcterms:created xsi:type="dcterms:W3CDTF">2022-07-13T09:34:00Z</dcterms:created>
  <dcterms:modified xsi:type="dcterms:W3CDTF">2025-11-04T07:16:00Z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0x01010093037FBFA494A54B9972E5B2EB3B16FC</vt:lpwstr>
  </property>
  <property fmtid="{D5CDD505-2E9C-101B-9397-08002B2CF9AE}" pid="3" name="Order">
    <vt:r8>10000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KSOProductBuildVer">
    <vt:lpwstr>1033-11.2.0.10308</vt:lpwstr>
  </property>
  <property fmtid="{D5CDD505-2E9C-101B-9397-08002B2CF9AE}" pid="11" name="ICV">
    <vt:lpwstr>729554163D894C37A4BE237817CBE4F7</vt:lpwstr>
  </property>
</Properties>
</file>