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184"/>
        <w:gridCol w:w="7311"/>
      </w:tblGrid>
      <w:tr w:rsidR="00F40789" w14:paraId="7ECEAE68" w14:textId="77777777">
        <w:trPr>
          <w:trHeight w:val="204"/>
        </w:trPr>
        <w:tc>
          <w:tcPr>
            <w:tcW w:w="0" w:type="auto"/>
            <w:shd w:val="clear" w:color="auto" w:fill="auto"/>
            <w:vAlign w:val="bottom"/>
          </w:tcPr>
          <w:p w14:paraId="1176F3F3"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1B7965E1"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1B462FD9"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tcPr>
          <w:p w14:paraId="6EA659C4" w14:textId="77777777" w:rsidR="00F40789" w:rsidRDefault="00F40789">
            <w:pPr>
              <w:spacing w:after="0" w:line="240" w:lineRule="auto"/>
              <w:rPr>
                <w:rFonts w:ascii="Times New Roman" w:eastAsia="Times New Roman" w:hAnsi="Times New Roman" w:cs="Times New Roman"/>
                <w:lang w:eastAsia="sk-SK"/>
              </w:rPr>
            </w:pPr>
          </w:p>
        </w:tc>
      </w:tr>
      <w:tr w:rsidR="00F40789" w14:paraId="45503B2C" w14:textId="77777777">
        <w:trPr>
          <w:trHeight w:val="450"/>
        </w:trPr>
        <w:tc>
          <w:tcPr>
            <w:tcW w:w="0" w:type="auto"/>
            <w:shd w:val="clear" w:color="auto" w:fill="auto"/>
            <w:vAlign w:val="center"/>
          </w:tcPr>
          <w:p w14:paraId="5A05D5DF" w14:textId="77777777" w:rsidR="00F40789" w:rsidRDefault="00F40789">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tcPr>
          <w:p w14:paraId="2CEAC339" w14:textId="77777777" w:rsidR="00F40789" w:rsidRDefault="000A3EA7">
            <w:pPr>
              <w:spacing w:after="0" w:line="240" w:lineRule="auto"/>
              <w:jc w:val="center"/>
              <w:rPr>
                <w:rFonts w:ascii="Calibri" w:eastAsia="Times New Roman" w:hAnsi="Calibri" w:cs="Times New Roman"/>
                <w:b/>
                <w:bCs/>
                <w:lang w:eastAsia="sk-SK"/>
              </w:rPr>
            </w:pPr>
            <w:r>
              <w:rPr>
                <w:rFonts w:ascii="Calibri" w:eastAsia="Times New Roman" w:hAnsi="Calibri" w:cs="Times New Roman"/>
                <w:b/>
                <w:bCs/>
                <w:lang w:eastAsia="sk-SK"/>
              </w:rPr>
              <w:t xml:space="preserve">Charakteristika predkladaného výstupu tvorivej činnosti / </w:t>
            </w:r>
            <w:r>
              <w:rPr>
                <w:rFonts w:ascii="Calibri" w:eastAsia="Times New Roman" w:hAnsi="Calibri" w:cs="Times New Roman"/>
                <w:b/>
                <w:bCs/>
                <w:lang w:eastAsia="sk-SK"/>
              </w:rPr>
              <w:br/>
              <w:t>Characteristics of the submitted research/ artistic/other output</w:t>
            </w:r>
          </w:p>
        </w:tc>
      </w:tr>
      <w:tr w:rsidR="00F40789" w14:paraId="732A3451" w14:textId="77777777">
        <w:trPr>
          <w:trHeight w:val="450"/>
        </w:trPr>
        <w:tc>
          <w:tcPr>
            <w:tcW w:w="0" w:type="auto"/>
            <w:shd w:val="clear" w:color="auto" w:fill="auto"/>
            <w:vAlign w:val="center"/>
          </w:tcPr>
          <w:p w14:paraId="31FADC2E" w14:textId="77777777" w:rsidR="00F40789" w:rsidRDefault="00F40789">
            <w:pPr>
              <w:spacing w:after="0" w:line="240" w:lineRule="auto"/>
              <w:jc w:val="center"/>
              <w:rPr>
                <w:rFonts w:ascii="Calibri" w:eastAsia="Times New Roman" w:hAnsi="Calibri" w:cs="Times New Roman"/>
                <w:b/>
                <w:bCs/>
                <w:lang w:eastAsia="sk-SK"/>
              </w:rPr>
            </w:pPr>
          </w:p>
        </w:tc>
        <w:tc>
          <w:tcPr>
            <w:tcW w:w="0" w:type="auto"/>
            <w:gridSpan w:val="3"/>
            <w:vMerge/>
            <w:vAlign w:val="center"/>
          </w:tcPr>
          <w:p w14:paraId="7FDD9857" w14:textId="77777777" w:rsidR="00F40789" w:rsidRDefault="00F40789">
            <w:pPr>
              <w:spacing w:after="0" w:line="240" w:lineRule="auto"/>
              <w:rPr>
                <w:rFonts w:ascii="Calibri" w:eastAsia="Times New Roman" w:hAnsi="Calibri" w:cs="Times New Roman"/>
                <w:b/>
                <w:bCs/>
                <w:lang w:eastAsia="sk-SK"/>
              </w:rPr>
            </w:pPr>
          </w:p>
        </w:tc>
      </w:tr>
      <w:tr w:rsidR="00F40789" w14:paraId="6F87020D" w14:textId="77777777">
        <w:trPr>
          <w:trHeight w:val="60"/>
        </w:trPr>
        <w:tc>
          <w:tcPr>
            <w:tcW w:w="0" w:type="auto"/>
            <w:shd w:val="clear" w:color="auto" w:fill="auto"/>
            <w:vAlign w:val="bottom"/>
          </w:tcPr>
          <w:p w14:paraId="35260B3A" w14:textId="77777777" w:rsidR="00F40789" w:rsidRDefault="00F40789">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tcPr>
          <w:p w14:paraId="0F897708"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27A821E9"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tcPr>
          <w:p w14:paraId="78299D5D" w14:textId="77777777" w:rsidR="00F40789" w:rsidRDefault="00F40789">
            <w:pPr>
              <w:spacing w:after="0" w:line="240" w:lineRule="auto"/>
              <w:rPr>
                <w:rFonts w:ascii="Times New Roman" w:eastAsia="Times New Roman" w:hAnsi="Times New Roman" w:cs="Times New Roman"/>
                <w:lang w:eastAsia="sk-SK"/>
              </w:rPr>
            </w:pPr>
          </w:p>
        </w:tc>
      </w:tr>
      <w:tr w:rsidR="00F40789" w14:paraId="19F188F3" w14:textId="77777777">
        <w:trPr>
          <w:trHeight w:val="375"/>
        </w:trPr>
        <w:tc>
          <w:tcPr>
            <w:tcW w:w="0" w:type="auto"/>
            <w:shd w:val="clear" w:color="auto" w:fill="auto"/>
            <w:vAlign w:val="bottom"/>
          </w:tcPr>
          <w:p w14:paraId="2966A3EF" w14:textId="77777777" w:rsidR="00F40789" w:rsidRDefault="00F40789">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tcPr>
          <w:p w14:paraId="61ABE15D" w14:textId="77777777" w:rsidR="00F40789" w:rsidRDefault="000A3EA7">
            <w:pPr>
              <w:spacing w:after="0" w:line="240" w:lineRule="auto"/>
              <w:rPr>
                <w:rFonts w:ascii="Calibri" w:eastAsia="Times New Roman" w:hAnsi="Calibri" w:cs="Times New Roman"/>
                <w:i/>
                <w:iCs/>
                <w:lang w:eastAsia="sk-SK"/>
              </w:rPr>
            </w:pPr>
            <w:r>
              <w:rPr>
                <w:rFonts w:ascii="Calibri" w:eastAsia="Times New Roman" w:hAnsi="Calibri" w:cs="Times New Roman"/>
                <w:i/>
                <w:iCs/>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40789" w14:paraId="652F9302" w14:textId="77777777">
        <w:trPr>
          <w:trHeight w:val="375"/>
        </w:trPr>
        <w:tc>
          <w:tcPr>
            <w:tcW w:w="0" w:type="auto"/>
            <w:shd w:val="clear" w:color="auto" w:fill="auto"/>
            <w:vAlign w:val="bottom"/>
          </w:tcPr>
          <w:p w14:paraId="621F95C9" w14:textId="77777777" w:rsidR="00F40789" w:rsidRDefault="00F40789">
            <w:pPr>
              <w:spacing w:after="0" w:line="240" w:lineRule="auto"/>
              <w:rPr>
                <w:rFonts w:ascii="Calibri" w:eastAsia="Times New Roman" w:hAnsi="Calibri" w:cs="Times New Roman"/>
                <w:i/>
                <w:iCs/>
                <w:lang w:eastAsia="sk-SK"/>
              </w:rPr>
            </w:pPr>
          </w:p>
        </w:tc>
        <w:tc>
          <w:tcPr>
            <w:tcW w:w="0" w:type="auto"/>
            <w:gridSpan w:val="3"/>
            <w:vMerge/>
            <w:vAlign w:val="center"/>
          </w:tcPr>
          <w:p w14:paraId="70C2331B" w14:textId="77777777" w:rsidR="00F40789" w:rsidRDefault="00F40789">
            <w:pPr>
              <w:spacing w:after="0" w:line="240" w:lineRule="auto"/>
              <w:rPr>
                <w:rFonts w:ascii="Calibri" w:eastAsia="Times New Roman" w:hAnsi="Calibri" w:cs="Times New Roman"/>
                <w:i/>
                <w:iCs/>
                <w:lang w:eastAsia="sk-SK"/>
              </w:rPr>
            </w:pPr>
          </w:p>
        </w:tc>
      </w:tr>
      <w:tr w:rsidR="00F40789" w14:paraId="0C94EDF0" w14:textId="77777777">
        <w:trPr>
          <w:trHeight w:val="90"/>
        </w:trPr>
        <w:tc>
          <w:tcPr>
            <w:tcW w:w="0" w:type="auto"/>
            <w:shd w:val="clear" w:color="auto" w:fill="auto"/>
            <w:vAlign w:val="bottom"/>
          </w:tcPr>
          <w:p w14:paraId="6D27ABD6"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25F8111A"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8B4DCB3"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tcPr>
          <w:p w14:paraId="0D839918" w14:textId="77777777" w:rsidR="00F40789" w:rsidRDefault="00F40789">
            <w:pPr>
              <w:spacing w:after="0" w:line="240" w:lineRule="auto"/>
              <w:rPr>
                <w:rFonts w:ascii="Times New Roman" w:eastAsia="Times New Roman" w:hAnsi="Times New Roman" w:cs="Times New Roman"/>
                <w:lang w:eastAsia="sk-SK"/>
              </w:rPr>
            </w:pPr>
          </w:p>
        </w:tc>
      </w:tr>
      <w:tr w:rsidR="00F40789" w14:paraId="470DE96F" w14:textId="77777777">
        <w:trPr>
          <w:trHeight w:val="345"/>
        </w:trPr>
        <w:tc>
          <w:tcPr>
            <w:tcW w:w="0" w:type="auto"/>
            <w:shd w:val="clear" w:color="auto" w:fill="auto"/>
            <w:vAlign w:val="bottom"/>
          </w:tcPr>
          <w:p w14:paraId="4878B6DA"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5A0B988B"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000000" w:fill="D9E1F2"/>
            <w:vAlign w:val="center"/>
          </w:tcPr>
          <w:p w14:paraId="09E7F40D" w14:textId="77777777" w:rsidR="00F40789" w:rsidRDefault="00C1470C">
            <w:pPr>
              <w:spacing w:after="0" w:line="240" w:lineRule="auto"/>
              <w:rPr>
                <w:rFonts w:ascii="Calibri" w:eastAsia="Times New Roman" w:hAnsi="Calibri" w:cs="Times New Roman"/>
                <w:lang w:eastAsia="sk-SK"/>
              </w:rPr>
            </w:pPr>
            <w:hyperlink r:id="rId11" w:anchor="'poznamky_explanatory notes'!A1" w:history="1">
              <w:r w:rsidR="000A3EA7">
                <w:rPr>
                  <w:rFonts w:ascii="Calibri" w:eastAsia="Times New Roman" w:hAnsi="Calibri" w:cs="Times New Roman"/>
                  <w:lang w:eastAsia="sk-SK"/>
                </w:rPr>
                <w:t>ID konania/ID of the procedure:</w:t>
              </w:r>
            </w:hyperlink>
            <w:r w:rsidR="000A3EA7">
              <w:rPr>
                <w:rStyle w:val="Odkaznapoznmkupodiarou"/>
                <w:rFonts w:ascii="Calibri" w:eastAsia="Times New Roman" w:hAnsi="Calibri" w:cs="Times New Roman"/>
                <w:lang w:eastAsia="sk-SK"/>
              </w:rPr>
              <w:footnoteReference w:id="1"/>
            </w:r>
          </w:p>
        </w:tc>
        <w:tc>
          <w:tcPr>
            <w:tcW w:w="0" w:type="auto"/>
            <w:shd w:val="clear" w:color="auto" w:fill="auto"/>
          </w:tcPr>
          <w:p w14:paraId="70174062"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w:t>
            </w:r>
          </w:p>
        </w:tc>
      </w:tr>
      <w:tr w:rsidR="00F40789" w14:paraId="0D3C8A31" w14:textId="77777777">
        <w:trPr>
          <w:trHeight w:val="345"/>
        </w:trPr>
        <w:tc>
          <w:tcPr>
            <w:tcW w:w="0" w:type="auto"/>
            <w:shd w:val="clear" w:color="auto" w:fill="auto"/>
            <w:vAlign w:val="bottom"/>
          </w:tcPr>
          <w:p w14:paraId="7BC12EA6" w14:textId="77777777" w:rsidR="00F40789" w:rsidRDefault="00F40789">
            <w:pPr>
              <w:spacing w:after="0" w:line="240" w:lineRule="auto"/>
              <w:rPr>
                <w:rFonts w:ascii="Calibri" w:eastAsia="Times New Roman" w:hAnsi="Calibri" w:cs="Times New Roman"/>
                <w:lang w:eastAsia="sk-SK"/>
              </w:rPr>
            </w:pPr>
          </w:p>
        </w:tc>
        <w:tc>
          <w:tcPr>
            <w:tcW w:w="0" w:type="auto"/>
            <w:shd w:val="clear" w:color="auto" w:fill="auto"/>
            <w:vAlign w:val="center"/>
          </w:tcPr>
          <w:p w14:paraId="3D2782A7" w14:textId="77777777" w:rsidR="00F40789" w:rsidRDefault="00F40789">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tcPr>
          <w:p w14:paraId="2FCC0D52"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fldChar w:fldCharType="begin"/>
            </w:r>
            <w:r>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Pr>
                <w:rFonts w:ascii="Calibri" w:eastAsia="Times New Roman" w:hAnsi="Calibri" w:cs="Times New Roman"/>
                <w:lang w:eastAsia="sk-SK"/>
              </w:rPr>
            </w:r>
            <w:r>
              <w:rPr>
                <w:rFonts w:ascii="Calibri" w:eastAsia="Times New Roman" w:hAnsi="Calibri" w:cs="Times New Roman"/>
                <w:lang w:eastAsia="sk-SK"/>
              </w:rPr>
              <w:fldChar w:fldCharType="separate"/>
            </w:r>
            <w:r>
              <w:rPr>
                <w:rFonts w:ascii="Calibri" w:eastAsia="Times New Roman" w:hAnsi="Calibri" w:cs="Times New Roman"/>
                <w:lang w:eastAsia="sk-SK"/>
              </w:rPr>
              <w:t>Kód VTC/Code of the research/artistic/other output (RAOO):</w:t>
            </w:r>
            <w:r>
              <w:rPr>
                <w:rFonts w:ascii="Calibri" w:eastAsia="Times New Roman" w:hAnsi="Calibri" w:cs="Times New Roman"/>
                <w:vertAlign w:val="superscript"/>
                <w:lang w:eastAsia="sk-SK"/>
              </w:rPr>
              <w:t>1</w:t>
            </w:r>
            <w:r>
              <w:rPr>
                <w:rFonts w:ascii="Calibri" w:eastAsia="Times New Roman" w:hAnsi="Calibri" w:cs="Times New Roman"/>
                <w:lang w:eastAsia="sk-SK"/>
              </w:rPr>
              <w:fldChar w:fldCharType="end"/>
            </w:r>
            <w:bookmarkEnd w:id="0"/>
          </w:p>
        </w:tc>
        <w:tc>
          <w:tcPr>
            <w:tcW w:w="0" w:type="auto"/>
            <w:shd w:val="clear" w:color="auto" w:fill="auto"/>
          </w:tcPr>
          <w:p w14:paraId="4227D5A9"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w:t>
            </w:r>
          </w:p>
        </w:tc>
      </w:tr>
      <w:tr w:rsidR="00F40789" w14:paraId="3A1B5559" w14:textId="77777777">
        <w:trPr>
          <w:trHeight w:val="405"/>
        </w:trPr>
        <w:tc>
          <w:tcPr>
            <w:tcW w:w="0" w:type="auto"/>
            <w:shd w:val="clear" w:color="auto" w:fill="auto"/>
            <w:vAlign w:val="bottom"/>
          </w:tcPr>
          <w:p w14:paraId="668E2C73" w14:textId="77777777" w:rsidR="00F40789" w:rsidRDefault="00F40789">
            <w:pPr>
              <w:spacing w:after="0" w:line="240" w:lineRule="auto"/>
              <w:rPr>
                <w:rFonts w:ascii="Calibri" w:eastAsia="Times New Roman" w:hAnsi="Calibri" w:cs="Times New Roman"/>
                <w:lang w:eastAsia="sk-SK"/>
              </w:rPr>
            </w:pPr>
          </w:p>
        </w:tc>
        <w:tc>
          <w:tcPr>
            <w:tcW w:w="0" w:type="auto"/>
            <w:shd w:val="clear" w:color="auto" w:fill="auto"/>
            <w:vAlign w:val="center"/>
          </w:tcPr>
          <w:p w14:paraId="774C2FE2"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40D5F7D3" w14:textId="77777777" w:rsidR="00F40789" w:rsidRDefault="00F40789">
            <w:pPr>
              <w:spacing w:after="0" w:line="240" w:lineRule="auto"/>
              <w:rPr>
                <w:rFonts w:ascii="Times New Roman" w:eastAsia="Times New Roman" w:hAnsi="Times New Roman" w:cs="Times New Roman"/>
                <w:lang w:eastAsia="sk-SK"/>
              </w:rPr>
            </w:pPr>
          </w:p>
        </w:tc>
        <w:tc>
          <w:tcPr>
            <w:tcW w:w="0" w:type="auto"/>
            <w:shd w:val="clear" w:color="auto" w:fill="auto"/>
          </w:tcPr>
          <w:p w14:paraId="6B9123E7" w14:textId="77777777" w:rsidR="00F40789" w:rsidRDefault="00F40789">
            <w:pPr>
              <w:spacing w:after="0" w:line="240" w:lineRule="auto"/>
              <w:rPr>
                <w:rFonts w:ascii="Times New Roman" w:eastAsia="Times New Roman" w:hAnsi="Times New Roman" w:cs="Times New Roman"/>
                <w:lang w:eastAsia="sk-SK"/>
              </w:rPr>
            </w:pPr>
          </w:p>
        </w:tc>
      </w:tr>
      <w:tr w:rsidR="00F40789" w14:paraId="5BB2FE29" w14:textId="77777777">
        <w:trPr>
          <w:trHeight w:val="510"/>
        </w:trPr>
        <w:tc>
          <w:tcPr>
            <w:tcW w:w="0" w:type="auto"/>
            <w:shd w:val="clear" w:color="auto" w:fill="auto"/>
            <w:vAlign w:val="bottom"/>
          </w:tcPr>
          <w:p w14:paraId="45A5F7B2" w14:textId="77777777" w:rsidR="00F40789" w:rsidRDefault="00F40789">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tcPr>
          <w:p w14:paraId="0B1C42A1" w14:textId="77777777" w:rsidR="00F40789" w:rsidRDefault="00C1470C">
            <w:pPr>
              <w:spacing w:after="0" w:line="240" w:lineRule="auto"/>
              <w:rPr>
                <w:rFonts w:ascii="Calibri" w:eastAsia="Times New Roman" w:hAnsi="Calibri" w:cs="Times New Roman"/>
                <w:lang w:eastAsia="sk-SK"/>
              </w:rPr>
            </w:pPr>
            <w:hyperlink r:id="rId12" w:anchor="'poznamky_explanatory notes'!A1" w:history="1">
              <w:r w:rsidR="000A3EA7">
                <w:rPr>
                  <w:rFonts w:ascii="Calibri" w:eastAsia="Times New Roman" w:hAnsi="Calibri" w:cs="Times New Roman"/>
                  <w:lang w:eastAsia="sk-SK"/>
                </w:rPr>
                <w:t>OCA1.</w:t>
              </w:r>
              <w:r w:rsidR="000A3EA7">
                <w:rPr>
                  <w:rFonts w:ascii="Calibri" w:eastAsia="Times New Roman" w:hAnsi="Calibri" w:cs="Times New Roman"/>
                  <w:b/>
                  <w:lang w:eastAsia="sk-SK"/>
                </w:rPr>
                <w:t xml:space="preserve"> Priezvisko hodnotenej osob</w:t>
              </w:r>
              <w:r w:rsidR="000A3EA7">
                <w:rPr>
                  <w:rFonts w:ascii="Calibri" w:eastAsia="Times New Roman" w:hAnsi="Calibri" w:cs="Times New Roman"/>
                  <w:lang w:eastAsia="sk-SK"/>
                </w:rPr>
                <w:t xml:space="preserve">y / Surname awarded to the assessed person </w:t>
              </w:r>
            </w:hyperlink>
            <w:r w:rsidR="000A3EA7">
              <w:rPr>
                <w:rStyle w:val="Odkaznapoznmkupodiarou"/>
                <w:rFonts w:ascii="Calibri" w:eastAsia="Times New Roman" w:hAnsi="Calibri" w:cs="Times New Roman"/>
                <w:lang w:eastAsia="sk-SK"/>
              </w:rPr>
              <w:footnoteReference w:id="2"/>
            </w:r>
          </w:p>
        </w:tc>
        <w:tc>
          <w:tcPr>
            <w:tcW w:w="0" w:type="auto"/>
            <w:shd w:val="clear" w:color="auto" w:fill="auto"/>
          </w:tcPr>
          <w:p w14:paraId="45BF6C85" w14:textId="77777777" w:rsidR="00F40789" w:rsidRDefault="000A3EA7">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Košičiarová</w:t>
            </w:r>
          </w:p>
        </w:tc>
      </w:tr>
      <w:tr w:rsidR="00F40789" w14:paraId="4AE65DC8" w14:textId="77777777">
        <w:trPr>
          <w:trHeight w:val="315"/>
        </w:trPr>
        <w:tc>
          <w:tcPr>
            <w:tcW w:w="0" w:type="auto"/>
            <w:shd w:val="clear" w:color="auto" w:fill="auto"/>
            <w:vAlign w:val="bottom"/>
          </w:tcPr>
          <w:p w14:paraId="7CCD4E8C"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6B4B4106" w14:textId="77777777" w:rsidR="00F40789" w:rsidRDefault="00C1470C">
            <w:pPr>
              <w:spacing w:after="0" w:line="240" w:lineRule="auto"/>
              <w:rPr>
                <w:rFonts w:ascii="Calibri" w:eastAsia="Times New Roman" w:hAnsi="Calibri" w:cs="Times New Roman"/>
                <w:lang w:eastAsia="sk-SK"/>
              </w:rPr>
            </w:pPr>
            <w:hyperlink r:id="rId13" w:anchor="'poznamky_explanatory notes'!A1" w:history="1">
              <w:r w:rsidR="000A3EA7">
                <w:rPr>
                  <w:rFonts w:ascii="Calibri" w:eastAsia="Times New Roman" w:hAnsi="Calibri" w:cs="Times New Roman"/>
                  <w:lang w:eastAsia="sk-SK"/>
                </w:rPr>
                <w:t xml:space="preserve">OCA2. </w:t>
              </w:r>
              <w:r w:rsidR="000A3EA7">
                <w:rPr>
                  <w:rFonts w:ascii="Calibri" w:eastAsia="Times New Roman" w:hAnsi="Calibri" w:cs="Times New Roman"/>
                  <w:b/>
                  <w:lang w:eastAsia="sk-SK"/>
                </w:rPr>
                <w:t>Meno hodnotenej osoby</w:t>
              </w:r>
              <w:r w:rsidR="000A3EA7">
                <w:rPr>
                  <w:rFonts w:ascii="Calibri" w:eastAsia="Times New Roman" w:hAnsi="Calibri" w:cs="Times New Roman"/>
                  <w:lang w:eastAsia="sk-SK"/>
                </w:rPr>
                <w:t xml:space="preserve"> / Name awarded to the assessed person </w:t>
              </w:r>
              <w:r w:rsidR="000A3EA7">
                <w:rPr>
                  <w:rFonts w:ascii="Calibri" w:eastAsia="Times New Roman" w:hAnsi="Calibri" w:cs="Times New Roman"/>
                  <w:vertAlign w:val="superscript"/>
                  <w:lang w:eastAsia="sk-SK"/>
                </w:rPr>
                <w:t>2</w:t>
              </w:r>
            </w:hyperlink>
          </w:p>
        </w:tc>
        <w:tc>
          <w:tcPr>
            <w:tcW w:w="0" w:type="auto"/>
            <w:shd w:val="clear" w:color="auto" w:fill="auto"/>
          </w:tcPr>
          <w:p w14:paraId="410A803C" w14:textId="77777777" w:rsidR="00F40789" w:rsidRDefault="000A3EA7">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Soňa</w:t>
            </w:r>
          </w:p>
        </w:tc>
      </w:tr>
      <w:tr w:rsidR="00F40789" w14:paraId="21098309" w14:textId="77777777">
        <w:trPr>
          <w:trHeight w:val="510"/>
        </w:trPr>
        <w:tc>
          <w:tcPr>
            <w:tcW w:w="0" w:type="auto"/>
            <w:shd w:val="clear" w:color="auto" w:fill="auto"/>
            <w:vAlign w:val="bottom"/>
          </w:tcPr>
          <w:p w14:paraId="02A88F49"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178D9DE4" w14:textId="77777777" w:rsidR="00F40789" w:rsidRDefault="00C1470C">
            <w:pPr>
              <w:spacing w:after="0" w:line="240" w:lineRule="auto"/>
              <w:rPr>
                <w:rFonts w:ascii="Calibri" w:eastAsia="Times New Roman" w:hAnsi="Calibri" w:cs="Times New Roman"/>
                <w:lang w:eastAsia="sk-SK"/>
              </w:rPr>
            </w:pPr>
            <w:hyperlink r:id="rId14" w:anchor="'poznamky_explanatory notes'!A1" w:history="1">
              <w:r w:rsidR="000A3EA7">
                <w:rPr>
                  <w:rFonts w:ascii="Calibri" w:eastAsia="Times New Roman" w:hAnsi="Calibri" w:cs="Times New Roman"/>
                  <w:lang w:eastAsia="sk-SK"/>
                </w:rPr>
                <w:t xml:space="preserve">OCA3. </w:t>
              </w:r>
              <w:r w:rsidR="000A3EA7">
                <w:rPr>
                  <w:rFonts w:ascii="Calibri" w:eastAsia="Times New Roman" w:hAnsi="Calibri" w:cs="Times New Roman"/>
                  <w:b/>
                  <w:lang w:eastAsia="sk-SK"/>
                </w:rPr>
                <w:t>Tituly hodnotenej osoby</w:t>
              </w:r>
              <w:r w:rsidR="000A3EA7">
                <w:rPr>
                  <w:rFonts w:ascii="Calibri" w:eastAsia="Times New Roman" w:hAnsi="Calibri" w:cs="Times New Roman"/>
                  <w:lang w:eastAsia="sk-SK"/>
                </w:rPr>
                <w:t xml:space="preserve"> / Degrees awarded to the assessed person </w:t>
              </w:r>
              <w:r w:rsidR="000A3EA7">
                <w:rPr>
                  <w:rFonts w:ascii="Calibri" w:eastAsia="Times New Roman" w:hAnsi="Calibri" w:cs="Times New Roman"/>
                  <w:vertAlign w:val="superscript"/>
                  <w:lang w:eastAsia="sk-SK"/>
                </w:rPr>
                <w:t>2</w:t>
              </w:r>
            </w:hyperlink>
          </w:p>
        </w:tc>
        <w:tc>
          <w:tcPr>
            <w:tcW w:w="0" w:type="auto"/>
            <w:shd w:val="clear" w:color="auto" w:fill="auto"/>
          </w:tcPr>
          <w:p w14:paraId="2EEEFA6A"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val="en-US" w:eastAsia="sk-SK"/>
              </w:rPr>
              <w:t>prof</w:t>
            </w:r>
            <w:r>
              <w:rPr>
                <w:rFonts w:ascii="Calibri" w:eastAsia="Times New Roman" w:hAnsi="Calibri" w:cs="Times New Roman"/>
                <w:lang w:eastAsia="sk-SK"/>
              </w:rPr>
              <w:t>. JUDr., PhD.</w:t>
            </w:r>
          </w:p>
        </w:tc>
      </w:tr>
      <w:tr w:rsidR="00F40789" w14:paraId="1CEAA287" w14:textId="77777777">
        <w:trPr>
          <w:trHeight w:val="660"/>
        </w:trPr>
        <w:tc>
          <w:tcPr>
            <w:tcW w:w="0" w:type="auto"/>
            <w:shd w:val="clear" w:color="auto" w:fill="auto"/>
            <w:vAlign w:val="bottom"/>
          </w:tcPr>
          <w:p w14:paraId="04F4B189"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3A4B9043" w14:textId="77777777" w:rsidR="00F40789" w:rsidRDefault="00C1470C">
            <w:pPr>
              <w:spacing w:after="0" w:line="240" w:lineRule="auto"/>
              <w:rPr>
                <w:rFonts w:ascii="Calibri" w:eastAsia="Times New Roman" w:hAnsi="Calibri" w:cs="Times New Roman"/>
                <w:lang w:eastAsia="sk-SK"/>
              </w:rPr>
            </w:pPr>
            <w:hyperlink r:id="rId15" w:anchor="'poznamky_explanatory notes'!A1" w:history="1">
              <w:r w:rsidR="000A3EA7">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0A3EA7">
              <w:rPr>
                <w:rStyle w:val="Odkaznapoznmkupodiarou"/>
                <w:rFonts w:ascii="Calibri" w:eastAsia="Times New Roman" w:hAnsi="Calibri" w:cs="Times New Roman"/>
                <w:lang w:eastAsia="sk-SK"/>
              </w:rPr>
              <w:footnoteReference w:id="3"/>
            </w:r>
          </w:p>
        </w:tc>
        <w:tc>
          <w:tcPr>
            <w:tcW w:w="0" w:type="auto"/>
            <w:shd w:val="clear" w:color="auto" w:fill="auto"/>
          </w:tcPr>
          <w:p w14:paraId="58284BA3" w14:textId="77777777" w:rsidR="00F40789" w:rsidRDefault="000A3EA7">
            <w:pPr>
              <w:rPr>
                <w:rFonts w:ascii="Calibri" w:eastAsia="Times New Roman" w:hAnsi="Calibri" w:cs="Times New Roman"/>
                <w:lang w:eastAsia="sk-SK"/>
              </w:rPr>
            </w:pPr>
            <w:r>
              <w:rPr>
                <w:rStyle w:val="spellingerror"/>
                <w:rFonts w:ascii="Calibri" w:hAnsi="Calibri"/>
                <w:iCs/>
              </w:rPr>
              <w:t>https://www.portalvs.sk/regzam/detail/8756</w:t>
            </w:r>
          </w:p>
        </w:tc>
      </w:tr>
      <w:tr w:rsidR="00F40789" w14:paraId="6E82124D" w14:textId="77777777">
        <w:trPr>
          <w:trHeight w:val="300"/>
        </w:trPr>
        <w:tc>
          <w:tcPr>
            <w:tcW w:w="0" w:type="auto"/>
            <w:shd w:val="clear" w:color="auto" w:fill="auto"/>
            <w:vAlign w:val="bottom"/>
          </w:tcPr>
          <w:p w14:paraId="7069E79C"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29E75252" w14:textId="77777777" w:rsidR="00F40789" w:rsidRDefault="00C1470C">
            <w:pPr>
              <w:spacing w:after="0" w:line="240" w:lineRule="auto"/>
              <w:rPr>
                <w:rFonts w:ascii="Calibri" w:eastAsia="Times New Roman" w:hAnsi="Calibri" w:cs="Times New Roman"/>
                <w:lang w:eastAsia="sk-SK"/>
              </w:rPr>
            </w:pPr>
            <w:hyperlink r:id="rId16" w:anchor="'poznamky_explanatory notes'!A1" w:history="1">
              <w:r w:rsidR="000A3EA7">
                <w:rPr>
                  <w:rFonts w:ascii="Calibri" w:eastAsia="Times New Roman" w:hAnsi="Calibri" w:cs="Times New Roman"/>
                  <w:lang w:eastAsia="sk-SK"/>
                </w:rPr>
                <w:t xml:space="preserve">OCA5. </w:t>
              </w:r>
              <w:r w:rsidR="000A3EA7">
                <w:rPr>
                  <w:rFonts w:ascii="Calibri" w:eastAsia="Times New Roman" w:hAnsi="Calibri" w:cs="Times New Roman"/>
                  <w:b/>
                  <w:lang w:eastAsia="sk-SK"/>
                </w:rPr>
                <w:t>Oblasť posudzovania</w:t>
              </w:r>
              <w:r w:rsidR="000A3EA7">
                <w:rPr>
                  <w:rFonts w:ascii="Calibri" w:eastAsia="Times New Roman" w:hAnsi="Calibri" w:cs="Times New Roman"/>
                  <w:lang w:eastAsia="sk-SK"/>
                </w:rPr>
                <w:t xml:space="preserve"> / Area of assessment </w:t>
              </w:r>
            </w:hyperlink>
            <w:r w:rsidR="000A3EA7">
              <w:rPr>
                <w:rStyle w:val="Odkaznapoznmkupodiarou"/>
                <w:rFonts w:ascii="Calibri" w:eastAsia="Times New Roman" w:hAnsi="Calibri" w:cs="Times New Roman"/>
                <w:lang w:eastAsia="sk-SK"/>
              </w:rPr>
              <w:footnoteReference w:id="4"/>
            </w:r>
          </w:p>
        </w:tc>
        <w:tc>
          <w:tcPr>
            <w:tcW w:w="0" w:type="auto"/>
            <w:shd w:val="clear" w:color="auto" w:fill="auto"/>
          </w:tcPr>
          <w:p w14:paraId="073DF238" w14:textId="55AC9A75" w:rsidR="00F40789" w:rsidRDefault="00C1470C">
            <w:pPr>
              <w:spacing w:after="0" w:line="240" w:lineRule="auto"/>
              <w:rPr>
                <w:rFonts w:ascii="Calibri" w:eastAsia="Times New Roman" w:hAnsi="Calibri" w:cs="Times New Roman"/>
                <w:lang w:eastAsia="sk-SK"/>
              </w:rPr>
            </w:pPr>
            <w:r w:rsidRPr="00C1470C">
              <w:t xml:space="preserve">Študijný program Trestné právo - 3. stupeň / </w:t>
            </w:r>
            <w:r w:rsidRPr="00C1470C">
              <w:rPr>
                <w:lang w:val="en"/>
              </w:rPr>
              <w:t>3</w:t>
            </w:r>
            <w:r w:rsidRPr="00C1470C">
              <w:t>rd degree study program - "Criminal Law" / Odbor habilitačného a inauguračného konania: Trestné právo / The field of the habilitation procedure and inaugural procedure: "Criminal law"</w:t>
            </w:r>
          </w:p>
        </w:tc>
      </w:tr>
      <w:tr w:rsidR="00F40789" w14:paraId="0939321B" w14:textId="77777777">
        <w:trPr>
          <w:trHeight w:val="300"/>
        </w:trPr>
        <w:tc>
          <w:tcPr>
            <w:tcW w:w="0" w:type="auto"/>
            <w:shd w:val="clear" w:color="auto" w:fill="auto"/>
            <w:vAlign w:val="bottom"/>
          </w:tcPr>
          <w:p w14:paraId="0F050A83"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auto" w:fill="auto"/>
            <w:vAlign w:val="center"/>
          </w:tcPr>
          <w:p w14:paraId="4F7104DA" w14:textId="77777777" w:rsidR="00F40789" w:rsidRDefault="000A3EA7">
            <w:pPr>
              <w:spacing w:after="0" w:line="240" w:lineRule="auto"/>
            </w:pPr>
            <w:r>
              <w:rPr>
                <w:b/>
              </w:rPr>
              <w:t>Zaradenie (PF TU)</w:t>
            </w:r>
          </w:p>
        </w:tc>
        <w:tc>
          <w:tcPr>
            <w:tcW w:w="0" w:type="auto"/>
            <w:shd w:val="clear" w:color="auto" w:fill="auto"/>
          </w:tcPr>
          <w:p w14:paraId="3DD4010D" w14:textId="77777777" w:rsidR="00F40789" w:rsidRDefault="000A3EA7">
            <w:pPr>
              <w:spacing w:after="0" w:line="240" w:lineRule="auto"/>
              <w:rPr>
                <w:rFonts w:ascii="Calibri" w:eastAsia="Times New Roman" w:hAnsi="Calibri" w:cs="Calibri"/>
                <w:lang w:eastAsia="sk-SK"/>
              </w:rPr>
            </w:pPr>
            <w:r>
              <w:rPr>
                <w:rFonts w:ascii="Calibri" w:eastAsia="Times New Roman" w:hAnsi="Calibri" w:cs="Calibri"/>
                <w:lang w:eastAsia="sk-SK"/>
              </w:rPr>
              <w:t>A</w:t>
            </w:r>
          </w:p>
        </w:tc>
      </w:tr>
      <w:tr w:rsidR="00F40789" w14:paraId="5D7D648A" w14:textId="77777777">
        <w:trPr>
          <w:trHeight w:val="660"/>
        </w:trPr>
        <w:tc>
          <w:tcPr>
            <w:tcW w:w="0" w:type="auto"/>
            <w:shd w:val="clear" w:color="auto" w:fill="auto"/>
            <w:vAlign w:val="bottom"/>
          </w:tcPr>
          <w:p w14:paraId="7243FC3D"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3530A679" w14:textId="77777777" w:rsidR="00F40789" w:rsidRDefault="00C1470C">
            <w:pPr>
              <w:spacing w:after="0" w:line="240" w:lineRule="auto"/>
              <w:rPr>
                <w:rFonts w:ascii="Calibri" w:eastAsia="Times New Roman" w:hAnsi="Calibri" w:cs="Times New Roman"/>
                <w:i/>
                <w:iCs/>
                <w:lang w:eastAsia="sk-SK"/>
              </w:rPr>
            </w:pPr>
            <w:hyperlink r:id="rId17" w:anchor="Expl.OCA6!A1" w:history="1">
              <w:r w:rsidR="000A3EA7">
                <w:rPr>
                  <w:rFonts w:ascii="Calibri" w:eastAsia="Times New Roman" w:hAnsi="Calibri" w:cs="Times New Roman"/>
                  <w:lang w:eastAsia="sk-SK"/>
                </w:rPr>
                <w:t xml:space="preserve">OCA6. </w:t>
              </w:r>
              <w:r w:rsidR="000A3EA7">
                <w:rPr>
                  <w:rFonts w:ascii="Calibri" w:eastAsia="Times New Roman" w:hAnsi="Calibri" w:cs="Times New Roman"/>
                  <w:b/>
                  <w:lang w:eastAsia="sk-SK"/>
                </w:rPr>
                <w:t>Kategória výstupu tvorivej činnosti</w:t>
              </w:r>
              <w:r w:rsidR="000A3EA7">
                <w:rPr>
                  <w:rFonts w:ascii="Calibri" w:eastAsia="Times New Roman" w:hAnsi="Calibri" w:cs="Times New Roman"/>
                  <w:lang w:eastAsia="sk-SK"/>
                </w:rPr>
                <w:t xml:space="preserve"> / Category of the research/ artistic/other output </w:t>
              </w:r>
              <w:r w:rsidR="000A3EA7">
                <w:rPr>
                  <w:rFonts w:ascii="Calibri" w:eastAsia="Times New Roman" w:hAnsi="Calibri" w:cs="Times New Roman"/>
                  <w:lang w:eastAsia="sk-SK"/>
                </w:rPr>
                <w:br/>
              </w:r>
              <w:r w:rsidR="000A3EA7">
                <w:rPr>
                  <w:rFonts w:ascii="Calibri" w:eastAsia="Times New Roman" w:hAnsi="Calibri" w:cs="Times New Roman"/>
                  <w:i/>
                  <w:iCs/>
                  <w:lang w:eastAsia="sk-SK"/>
                </w:rPr>
                <w:t xml:space="preserve">Výber zo 6 možností / Choice from 6 options. </w:t>
              </w:r>
            </w:hyperlink>
          </w:p>
          <w:p w14:paraId="266F429B"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b/>
                <w:sz w:val="16"/>
                <w:szCs w:val="16"/>
                <w:lang w:eastAsia="sk-SK"/>
              </w:rPr>
              <w:t>vedecký výstup</w:t>
            </w:r>
            <w:r>
              <w:rPr>
                <w:rFonts w:ascii="Calibri" w:eastAsia="Times New Roman" w:hAnsi="Calibri" w:cs="Times New Roman"/>
                <w:sz w:val="16"/>
                <w:szCs w:val="16"/>
                <w:lang w:eastAsia="sk-SK"/>
              </w:rPr>
              <w:t xml:space="preserve"> / scientific output, </w:t>
            </w:r>
            <w:r>
              <w:rPr>
                <w:rFonts w:ascii="Calibri" w:eastAsia="Times New Roman" w:hAnsi="Calibri" w:cs="Times New Roman"/>
                <w:b/>
                <w:sz w:val="16"/>
                <w:szCs w:val="16"/>
                <w:lang w:eastAsia="sk-SK"/>
              </w:rPr>
              <w:lastRenderedPageBreak/>
              <w:t>odborný výstup</w:t>
            </w:r>
            <w:r>
              <w:rPr>
                <w:rFonts w:ascii="Calibri" w:eastAsia="Times New Roman" w:hAnsi="Calibri" w:cs="Times New Roman"/>
                <w:sz w:val="16"/>
                <w:szCs w:val="16"/>
                <w:lang w:eastAsia="sk-SK"/>
              </w:rPr>
              <w:t xml:space="preserve"> / professional output, </w:t>
            </w:r>
            <w:r>
              <w:rPr>
                <w:rFonts w:ascii="Calibri" w:eastAsia="Times New Roman" w:hAnsi="Calibri" w:cs="Times New Roman"/>
                <w:b/>
                <w:sz w:val="16"/>
                <w:szCs w:val="16"/>
                <w:lang w:eastAsia="sk-SK"/>
              </w:rPr>
              <w:t>pedagogický výstup</w:t>
            </w:r>
            <w:r>
              <w:rPr>
                <w:rFonts w:ascii="Calibri" w:eastAsia="Times New Roman" w:hAnsi="Calibri" w:cs="Times New Roman"/>
                <w:sz w:val="16"/>
                <w:szCs w:val="16"/>
                <w:lang w:eastAsia="sk-SK"/>
              </w:rPr>
              <w:t xml:space="preserve"> / pedagogical output, </w:t>
            </w:r>
            <w:r>
              <w:rPr>
                <w:rFonts w:ascii="Calibri" w:eastAsia="Times New Roman" w:hAnsi="Calibri" w:cs="Times New Roman"/>
                <w:b/>
                <w:sz w:val="16"/>
                <w:szCs w:val="16"/>
                <w:lang w:eastAsia="sk-SK"/>
              </w:rPr>
              <w:t>umelecký výstup</w:t>
            </w:r>
            <w:r>
              <w:rPr>
                <w:rFonts w:ascii="Calibri" w:eastAsia="Times New Roman" w:hAnsi="Calibri" w:cs="Times New Roman"/>
                <w:sz w:val="16"/>
                <w:szCs w:val="16"/>
                <w:lang w:eastAsia="sk-SK"/>
              </w:rPr>
              <w:t xml:space="preserve"> / artistic output,  dokument práv duševného vlastníctva a norma / intellectual property rights document and standard, </w:t>
            </w:r>
            <w:r>
              <w:rPr>
                <w:rFonts w:ascii="Calibri" w:eastAsia="Times New Roman" w:hAnsi="Calibri" w:cs="Times New Roman"/>
                <w:b/>
                <w:sz w:val="16"/>
                <w:szCs w:val="16"/>
                <w:lang w:eastAsia="sk-SK"/>
              </w:rPr>
              <w:t>iný výstup</w:t>
            </w:r>
            <w:r>
              <w:rPr>
                <w:rFonts w:ascii="Calibri" w:eastAsia="Times New Roman" w:hAnsi="Calibri" w:cs="Times New Roman"/>
                <w:sz w:val="16"/>
                <w:szCs w:val="16"/>
                <w:lang w:eastAsia="sk-SK"/>
              </w:rPr>
              <w:t xml:space="preserve"> / other output</w:t>
            </w:r>
          </w:p>
        </w:tc>
        <w:tc>
          <w:tcPr>
            <w:tcW w:w="0" w:type="auto"/>
            <w:shd w:val="clear" w:color="auto" w:fill="auto"/>
          </w:tcPr>
          <w:p w14:paraId="155AF533" w14:textId="77777777" w:rsidR="00F40789" w:rsidRDefault="000A3EA7">
            <w:pPr>
              <w:spacing w:after="0" w:line="240" w:lineRule="auto"/>
              <w:rPr>
                <w:rFonts w:ascii="Calibri" w:eastAsia="Times New Roman" w:hAnsi="Calibri" w:cs="Calibri"/>
                <w:iCs/>
                <w:lang w:eastAsia="sk-SK"/>
              </w:rPr>
            </w:pPr>
            <w:r>
              <w:rPr>
                <w:rFonts w:ascii="Calibri" w:eastAsia="Times New Roman" w:hAnsi="Calibri" w:cs="Calibri"/>
                <w:iCs/>
                <w:lang w:eastAsia="sk-SK"/>
              </w:rPr>
              <w:lastRenderedPageBreak/>
              <w:t>vedecký výstup / scientific output</w:t>
            </w:r>
          </w:p>
        </w:tc>
      </w:tr>
      <w:tr w:rsidR="00F40789" w14:paraId="17DAEE58" w14:textId="77777777">
        <w:trPr>
          <w:trHeight w:val="510"/>
        </w:trPr>
        <w:tc>
          <w:tcPr>
            <w:tcW w:w="0" w:type="auto"/>
            <w:shd w:val="clear" w:color="auto" w:fill="auto"/>
            <w:vAlign w:val="bottom"/>
          </w:tcPr>
          <w:p w14:paraId="2E86F91F" w14:textId="77777777" w:rsidR="00F40789" w:rsidRDefault="00F40789">
            <w:pPr>
              <w:spacing w:after="0" w:line="240" w:lineRule="auto"/>
              <w:rPr>
                <w:rFonts w:ascii="Calibri" w:eastAsia="Times New Roman" w:hAnsi="Calibri" w:cs="Times New Roman"/>
                <w:i/>
                <w:iCs/>
                <w:lang w:eastAsia="sk-SK"/>
              </w:rPr>
            </w:pPr>
          </w:p>
        </w:tc>
        <w:tc>
          <w:tcPr>
            <w:tcW w:w="0" w:type="auto"/>
            <w:gridSpan w:val="2"/>
            <w:shd w:val="clear" w:color="FBE5D6" w:fill="DAE3F3"/>
            <w:vAlign w:val="center"/>
          </w:tcPr>
          <w:p w14:paraId="0B0FDED3"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OCA7. </w:t>
            </w:r>
            <w:r>
              <w:rPr>
                <w:rFonts w:ascii="Calibri" w:eastAsia="Times New Roman" w:hAnsi="Calibri" w:cs="Times New Roman"/>
                <w:b/>
                <w:lang w:eastAsia="sk-SK"/>
              </w:rPr>
              <w:t>Rok vydania výstupu tvorivej činnosti</w:t>
            </w:r>
            <w:r>
              <w:rPr>
                <w:rFonts w:ascii="Calibri" w:eastAsia="Times New Roman" w:hAnsi="Calibri" w:cs="Times New Roman"/>
                <w:lang w:eastAsia="sk-SK"/>
              </w:rPr>
              <w:t xml:space="preserve"> / Year of publication of the research/artistic/other output</w:t>
            </w:r>
          </w:p>
        </w:tc>
        <w:tc>
          <w:tcPr>
            <w:tcW w:w="0" w:type="auto"/>
            <w:shd w:val="clear" w:color="auto" w:fill="auto"/>
          </w:tcPr>
          <w:p w14:paraId="7AE3FFD8" w14:textId="77777777" w:rsidR="00F40789" w:rsidRDefault="000A3EA7">
            <w:pPr>
              <w:spacing w:after="0" w:line="240" w:lineRule="auto"/>
              <w:rPr>
                <w:rFonts w:ascii="Calibri" w:eastAsia="Times New Roman" w:hAnsi="Calibri" w:cs="Calibri"/>
                <w:lang w:val="en-US" w:eastAsia="sk-SK"/>
              </w:rPr>
            </w:pPr>
            <w:r>
              <w:rPr>
                <w:rFonts w:ascii="Calibri" w:eastAsia="Times New Roman" w:hAnsi="Calibri" w:cs="Calibri"/>
                <w:lang w:eastAsia="sk-SK"/>
              </w:rPr>
              <w:t> 20</w:t>
            </w:r>
            <w:r>
              <w:rPr>
                <w:rFonts w:ascii="Calibri" w:eastAsia="Times New Roman" w:hAnsi="Calibri" w:cs="Calibri"/>
                <w:lang w:val="en-US" w:eastAsia="sk-SK"/>
              </w:rPr>
              <w:t>2</w:t>
            </w:r>
            <w:r>
              <w:rPr>
                <w:rFonts w:ascii="Calibri" w:eastAsia="Times New Roman" w:hAnsi="Calibri" w:cs="Calibri"/>
                <w:lang w:eastAsia="sk-SK"/>
              </w:rPr>
              <w:t>1</w:t>
            </w:r>
          </w:p>
        </w:tc>
      </w:tr>
      <w:tr w:rsidR="00F40789" w14:paraId="26D03AE6" w14:textId="77777777">
        <w:trPr>
          <w:trHeight w:val="660"/>
        </w:trPr>
        <w:tc>
          <w:tcPr>
            <w:tcW w:w="0" w:type="auto"/>
            <w:shd w:val="clear" w:color="auto" w:fill="auto"/>
            <w:vAlign w:val="bottom"/>
          </w:tcPr>
          <w:p w14:paraId="44F65699"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39650100" w14:textId="77777777" w:rsidR="00F40789" w:rsidRDefault="00C1470C">
            <w:pPr>
              <w:spacing w:after="0" w:line="240" w:lineRule="auto"/>
              <w:rPr>
                <w:rFonts w:ascii="Calibri" w:eastAsia="Times New Roman" w:hAnsi="Calibri" w:cs="Times New Roman"/>
                <w:lang w:eastAsia="sk-SK"/>
              </w:rPr>
            </w:pPr>
            <w:hyperlink r:id="rId18" w:anchor="'poznamky_explanatory notes'!A1" w:history="1">
              <w:r w:rsidR="000A3EA7">
                <w:rPr>
                  <w:rFonts w:ascii="Calibri" w:eastAsia="Times New Roman" w:hAnsi="Calibri" w:cs="Times New Roman"/>
                  <w:lang w:eastAsia="sk-SK"/>
                </w:rPr>
                <w:t xml:space="preserve">OCA8. </w:t>
              </w:r>
              <w:r w:rsidR="000A3EA7">
                <w:rPr>
                  <w:rFonts w:ascii="Calibri" w:eastAsia="Times New Roman" w:hAnsi="Calibri" w:cs="Times New Roman"/>
                  <w:b/>
                  <w:lang w:eastAsia="sk-SK"/>
                </w:rPr>
                <w:t>ID záznamu v CREPČ alebo CREUČ</w:t>
              </w:r>
              <w:r w:rsidR="000A3EA7">
                <w:rPr>
                  <w:rFonts w:ascii="Calibri" w:eastAsia="Times New Roman" w:hAnsi="Calibri" w:cs="Times New Roman"/>
                  <w:lang w:eastAsia="sk-SK"/>
                </w:rPr>
                <w:t xml:space="preserve"> </w:t>
              </w:r>
              <w:r w:rsidR="000A3EA7">
                <w:rPr>
                  <w:rFonts w:ascii="Calibri" w:eastAsia="Times New Roman" w:hAnsi="Calibri" w:cs="Times New Roman"/>
                  <w:i/>
                  <w:iCs/>
                  <w:lang w:eastAsia="sk-SK"/>
                </w:rPr>
                <w:t>(ak je)</w:t>
              </w:r>
              <w:r w:rsidR="000A3EA7">
                <w:rPr>
                  <w:rFonts w:ascii="Calibri" w:eastAsia="Times New Roman" w:hAnsi="Calibri" w:cs="Times New Roman"/>
                  <w:lang w:eastAsia="sk-SK"/>
                </w:rPr>
                <w:t xml:space="preserve"> / ID of the record in the Central Registry of Publication Activity (CRPA) or the Central Registry of Artistic Activity (CRAA)</w:t>
              </w:r>
            </w:hyperlink>
            <w:r w:rsidR="000A3EA7">
              <w:rPr>
                <w:rStyle w:val="Odkaznapoznmkupodiarou"/>
                <w:rFonts w:ascii="Calibri" w:eastAsia="Times New Roman" w:hAnsi="Calibri" w:cs="Times New Roman"/>
                <w:lang w:eastAsia="sk-SK"/>
              </w:rPr>
              <w:footnoteReference w:id="5"/>
            </w:r>
          </w:p>
        </w:tc>
        <w:tc>
          <w:tcPr>
            <w:tcW w:w="0" w:type="auto"/>
            <w:shd w:val="clear" w:color="auto" w:fill="auto"/>
          </w:tcPr>
          <w:p w14:paraId="3880231F" w14:textId="77777777" w:rsidR="00F40789" w:rsidRPr="008953CD" w:rsidRDefault="008953CD" w:rsidP="008953CD">
            <w:pPr>
              <w:spacing w:before="100" w:beforeAutospacing="1" w:after="100" w:afterAutospacing="1" w:line="240" w:lineRule="auto"/>
              <w:outlineLvl w:val="2"/>
              <w:rPr>
                <w:rFonts w:eastAsia="Times New Roman" w:cstheme="minorHAnsi"/>
                <w:lang w:eastAsia="sk-SK"/>
              </w:rPr>
            </w:pPr>
            <w:r w:rsidRPr="008953CD">
              <w:rPr>
                <w:rFonts w:eastAsia="Times New Roman" w:cstheme="minorHAnsi"/>
                <w:bCs/>
                <w:lang w:eastAsia="sk-SK"/>
              </w:rPr>
              <w:t xml:space="preserve">ID = 472266 </w:t>
            </w:r>
            <w:r w:rsidR="000A3EA7" w:rsidRPr="008953CD">
              <w:rPr>
                <w:rFonts w:eastAsia="SimSun" w:cstheme="minorHAnsi"/>
                <w:b/>
                <w:bCs/>
              </w:rPr>
              <w:t>Azyl a právo na azyl</w:t>
            </w:r>
            <w:r w:rsidR="000A3EA7" w:rsidRPr="008953CD">
              <w:rPr>
                <w:rFonts w:eastAsia="SimSun" w:cstheme="minorHAnsi"/>
              </w:rPr>
              <w:t xml:space="preserve"> / Soňa Košičiarová. - 1. vyd. - Praha : Nakladatelství Leges, 2021. - 287 s. - (Teoretik). - ISBN 978-80-7502-508-1.</w:t>
            </w:r>
          </w:p>
        </w:tc>
      </w:tr>
      <w:tr w:rsidR="00F40789" w14:paraId="2D15DD17" w14:textId="77777777">
        <w:trPr>
          <w:trHeight w:val="525"/>
        </w:trPr>
        <w:tc>
          <w:tcPr>
            <w:tcW w:w="0" w:type="auto"/>
            <w:shd w:val="clear" w:color="auto" w:fill="auto"/>
            <w:vAlign w:val="bottom"/>
          </w:tcPr>
          <w:p w14:paraId="1D704CD8"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7840B24A" w14:textId="77777777" w:rsidR="00F40789" w:rsidRDefault="00C1470C">
            <w:pPr>
              <w:spacing w:after="0" w:line="240" w:lineRule="auto"/>
              <w:rPr>
                <w:rFonts w:ascii="Calibri" w:eastAsia="Times New Roman" w:hAnsi="Calibri" w:cs="Times New Roman"/>
                <w:lang w:eastAsia="sk-SK"/>
              </w:rPr>
            </w:pPr>
            <w:hyperlink r:id="rId19" w:anchor="'poznamky_explanatory notes'!A1" w:history="1">
              <w:r w:rsidR="000A3EA7">
                <w:rPr>
                  <w:rFonts w:ascii="Calibri" w:eastAsia="Times New Roman" w:hAnsi="Calibri" w:cs="Times New Roman"/>
                  <w:lang w:eastAsia="sk-SK"/>
                </w:rPr>
                <w:t xml:space="preserve">OCA9. </w:t>
              </w:r>
              <w:r w:rsidR="000A3EA7">
                <w:rPr>
                  <w:rFonts w:ascii="Calibri" w:eastAsia="Times New Roman" w:hAnsi="Calibri" w:cs="Times New Roman"/>
                  <w:b/>
                  <w:lang w:eastAsia="sk-SK"/>
                </w:rPr>
                <w:t>Hyperlink na záznam v CREPČ alebo CREUČ</w:t>
              </w:r>
              <w:r w:rsidR="000A3EA7">
                <w:rPr>
                  <w:rFonts w:ascii="Calibri" w:eastAsia="Times New Roman" w:hAnsi="Calibri" w:cs="Times New Roman"/>
                  <w:lang w:eastAsia="sk-SK"/>
                </w:rPr>
                <w:t xml:space="preserve"> / Hyperlink to the record in CRPA or CRAA </w:t>
              </w:r>
            </w:hyperlink>
            <w:r w:rsidR="000A3EA7">
              <w:rPr>
                <w:rStyle w:val="Odkaznapoznmkupodiarou"/>
                <w:rFonts w:ascii="Calibri" w:eastAsia="Times New Roman" w:hAnsi="Calibri" w:cs="Times New Roman"/>
                <w:lang w:eastAsia="sk-SK"/>
              </w:rPr>
              <w:footnoteReference w:id="6"/>
            </w:r>
          </w:p>
        </w:tc>
        <w:tc>
          <w:tcPr>
            <w:tcW w:w="0" w:type="auto"/>
            <w:shd w:val="clear" w:color="auto" w:fill="auto"/>
          </w:tcPr>
          <w:p w14:paraId="7E8AC789" w14:textId="77777777" w:rsidR="00F40789" w:rsidRDefault="00C1470C">
            <w:pPr>
              <w:spacing w:after="0" w:line="240" w:lineRule="auto"/>
              <w:rPr>
                <w:rFonts w:ascii="Calibri" w:eastAsia="Times New Roman" w:hAnsi="Calibri" w:cs="Calibri"/>
                <w:lang w:eastAsia="sk-SK"/>
              </w:rPr>
            </w:pPr>
            <w:hyperlink r:id="rId20" w:tgtFrame="_blank" w:history="1">
              <w:r w:rsidR="008953CD">
                <w:rPr>
                  <w:rStyle w:val="Hypertextovprepojenie"/>
                  <w:rFonts w:ascii="Helvetica" w:hAnsi="Helvetica" w:cs="Helvetica"/>
                  <w:color w:val="2F1713"/>
                  <w:sz w:val="20"/>
                  <w:szCs w:val="20"/>
                  <w:shd w:val="clear" w:color="auto" w:fill="F5F5F5"/>
                </w:rPr>
                <w:t>https://app.crepc.sk/?fn=detailBiblioForm&amp;sid=0CB211958038C74915A2707AE3</w:t>
              </w:r>
            </w:hyperlink>
          </w:p>
        </w:tc>
      </w:tr>
      <w:tr w:rsidR="00F40789" w14:paraId="7011EE33" w14:textId="77777777">
        <w:trPr>
          <w:trHeight w:val="525"/>
        </w:trPr>
        <w:tc>
          <w:tcPr>
            <w:tcW w:w="0" w:type="auto"/>
            <w:shd w:val="clear" w:color="auto" w:fill="auto"/>
            <w:vAlign w:val="bottom"/>
          </w:tcPr>
          <w:p w14:paraId="3ACF7AD2"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44A79E5C" w14:textId="77777777" w:rsidR="00F40789" w:rsidRDefault="00F40789">
            <w:pPr>
              <w:spacing w:after="0" w:line="240" w:lineRule="auto"/>
            </w:pPr>
          </w:p>
        </w:tc>
        <w:tc>
          <w:tcPr>
            <w:tcW w:w="0" w:type="auto"/>
            <w:shd w:val="clear" w:color="auto" w:fill="auto"/>
          </w:tcPr>
          <w:p w14:paraId="6D73019E" w14:textId="77777777" w:rsidR="00F40789" w:rsidRDefault="00F40789">
            <w:pPr>
              <w:spacing w:after="0" w:line="240" w:lineRule="auto"/>
              <w:rPr>
                <w:rFonts w:ascii="Calibri" w:eastAsia="Times New Roman" w:hAnsi="Calibri" w:cs="Times New Roman"/>
                <w:lang w:eastAsia="sk-SK"/>
              </w:rPr>
            </w:pPr>
          </w:p>
        </w:tc>
      </w:tr>
      <w:tr w:rsidR="00F40789" w14:paraId="5269DE51" w14:textId="77777777">
        <w:trPr>
          <w:trHeight w:val="1065"/>
        </w:trPr>
        <w:tc>
          <w:tcPr>
            <w:tcW w:w="0" w:type="auto"/>
            <w:shd w:val="clear" w:color="auto" w:fill="auto"/>
            <w:vAlign w:val="bottom"/>
          </w:tcPr>
          <w:p w14:paraId="7AEC18A1" w14:textId="77777777" w:rsidR="00F40789" w:rsidRDefault="00F40789">
            <w:pPr>
              <w:spacing w:after="0" w:line="240" w:lineRule="auto"/>
              <w:rPr>
                <w:rFonts w:ascii="Calibri" w:eastAsia="Times New Roman" w:hAnsi="Calibri" w:cs="Times New Roman"/>
                <w:lang w:eastAsia="sk-SK"/>
              </w:rPr>
            </w:pPr>
          </w:p>
        </w:tc>
        <w:tc>
          <w:tcPr>
            <w:tcW w:w="0" w:type="auto"/>
            <w:vMerge w:val="restart"/>
            <w:shd w:val="clear" w:color="FBE5D6" w:fill="DAE3F3"/>
            <w:textDirection w:val="btLr"/>
            <w:vAlign w:val="center"/>
          </w:tcPr>
          <w:p w14:paraId="4E79CD4D" w14:textId="77777777" w:rsidR="00F40789" w:rsidRDefault="000A3EA7">
            <w:pPr>
              <w:spacing w:after="0" w:line="240" w:lineRule="auto"/>
              <w:jc w:val="center"/>
              <w:rPr>
                <w:rFonts w:ascii="Calibri" w:eastAsia="Times New Roman" w:hAnsi="Calibri" w:cs="Times New Roman"/>
                <w:lang w:eastAsia="sk-SK"/>
              </w:rPr>
            </w:pPr>
            <w:r>
              <w:rPr>
                <w:rFonts w:ascii="Calibri" w:eastAsia="Times New Roman" w:hAnsi="Calibri" w:cs="Times New Roman"/>
                <w:lang w:eastAsia="sk-SK"/>
              </w:rPr>
              <w:t>Charakteristika výstupu, ktorý nie je registrovaný v CREPČ alebo CREUČ / Characteristics of the output that is not registered in CRPA or CRAA</w:t>
            </w:r>
          </w:p>
        </w:tc>
        <w:tc>
          <w:tcPr>
            <w:tcW w:w="0" w:type="auto"/>
            <w:shd w:val="clear" w:color="000000" w:fill="D9E1F2"/>
            <w:vAlign w:val="center"/>
          </w:tcPr>
          <w:p w14:paraId="31C5E3B5" w14:textId="77777777" w:rsidR="00F40789" w:rsidRDefault="00C1470C">
            <w:pPr>
              <w:spacing w:after="0" w:line="240" w:lineRule="auto"/>
              <w:rPr>
                <w:rFonts w:ascii="Calibri" w:eastAsia="Times New Roman" w:hAnsi="Calibri" w:cs="Times New Roman"/>
                <w:lang w:eastAsia="sk-SK"/>
              </w:rPr>
            </w:pPr>
            <w:hyperlink r:id="rId21" w:anchor="'poznamky_explanatory notes'!A1" w:history="1">
              <w:r w:rsidR="000A3EA7">
                <w:rPr>
                  <w:rFonts w:ascii="Calibri" w:eastAsia="Times New Roman" w:hAnsi="Calibri" w:cs="Times New Roman"/>
                  <w:lang w:eastAsia="sk-SK"/>
                </w:rPr>
                <w:t xml:space="preserve">OCA10. </w:t>
              </w:r>
              <w:r w:rsidR="000A3EA7">
                <w:rPr>
                  <w:rFonts w:ascii="Calibri" w:eastAsia="Times New Roman" w:hAnsi="Calibri" w:cs="Times New Roman"/>
                  <w:b/>
                  <w:lang w:eastAsia="sk-SK"/>
                </w:rPr>
                <w:t>Hyperlink na záznam v inom verejne prístupnom registri</w:t>
              </w:r>
              <w:r w:rsidR="000A3EA7">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0A3EA7">
              <w:rPr>
                <w:rStyle w:val="Odkaznapoznmkupodiarou"/>
                <w:rFonts w:ascii="Calibri" w:eastAsia="Times New Roman" w:hAnsi="Calibri" w:cs="Times New Roman"/>
                <w:lang w:eastAsia="sk-SK"/>
              </w:rPr>
              <w:footnoteReference w:id="7"/>
            </w:r>
          </w:p>
        </w:tc>
        <w:tc>
          <w:tcPr>
            <w:tcW w:w="0" w:type="auto"/>
            <w:shd w:val="clear" w:color="auto" w:fill="auto"/>
          </w:tcPr>
          <w:p w14:paraId="6EB28A20" w14:textId="77777777" w:rsidR="00F40789" w:rsidRDefault="000A3EA7">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x</w:t>
            </w:r>
          </w:p>
        </w:tc>
      </w:tr>
      <w:tr w:rsidR="00F40789" w14:paraId="637CB8A3" w14:textId="77777777">
        <w:trPr>
          <w:trHeight w:val="1515"/>
        </w:trPr>
        <w:tc>
          <w:tcPr>
            <w:tcW w:w="0" w:type="auto"/>
            <w:shd w:val="clear" w:color="auto" w:fill="auto"/>
            <w:vAlign w:val="bottom"/>
          </w:tcPr>
          <w:p w14:paraId="4282AA75" w14:textId="77777777" w:rsidR="00F40789" w:rsidRDefault="00F40789">
            <w:pPr>
              <w:spacing w:after="0" w:line="240" w:lineRule="auto"/>
              <w:rPr>
                <w:rFonts w:ascii="Calibri" w:eastAsia="Times New Roman" w:hAnsi="Calibri" w:cs="Times New Roman"/>
                <w:lang w:eastAsia="sk-SK"/>
              </w:rPr>
            </w:pPr>
          </w:p>
        </w:tc>
        <w:tc>
          <w:tcPr>
            <w:tcW w:w="0" w:type="auto"/>
            <w:vMerge/>
            <w:vAlign w:val="center"/>
          </w:tcPr>
          <w:p w14:paraId="29D22CF6" w14:textId="77777777" w:rsidR="00F40789" w:rsidRDefault="00F40789">
            <w:pPr>
              <w:spacing w:after="0" w:line="240" w:lineRule="auto"/>
              <w:rPr>
                <w:rFonts w:ascii="Calibri" w:eastAsia="Times New Roman" w:hAnsi="Calibri" w:cs="Times New Roman"/>
                <w:lang w:eastAsia="sk-SK"/>
              </w:rPr>
            </w:pPr>
          </w:p>
        </w:tc>
        <w:tc>
          <w:tcPr>
            <w:tcW w:w="0" w:type="auto"/>
            <w:shd w:val="clear" w:color="FBE5D6" w:fill="DAE3F3"/>
            <w:vAlign w:val="center"/>
          </w:tcPr>
          <w:p w14:paraId="7F13A6C4"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OCA11. Charakteristika výstupu vo formáte bibliografického záznamu CREPČ alebo CREUČ, ak výstup nie je vo verejne prístupnom registri alebo katalógu výstupov / </w:t>
            </w:r>
            <w:r>
              <w:rPr>
                <w:rFonts w:ascii="Calibri" w:eastAsia="Times New Roman" w:hAnsi="Calibri" w:cs="Times New Roman"/>
                <w:lang w:eastAsia="sk-SK"/>
              </w:rPr>
              <w:lastRenderedPageBreak/>
              <w:t>Characteristics of the output in the format of the CRPA or the CRAA bibliographic record, if the output is not available in a publicly accessible register or catalogue of outputs</w:t>
            </w:r>
          </w:p>
        </w:tc>
        <w:tc>
          <w:tcPr>
            <w:tcW w:w="0" w:type="auto"/>
            <w:shd w:val="clear" w:color="auto" w:fill="auto"/>
          </w:tcPr>
          <w:p w14:paraId="2FF19F65"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lastRenderedPageBreak/>
              <w:t> x</w:t>
            </w:r>
          </w:p>
        </w:tc>
      </w:tr>
      <w:tr w:rsidR="00F40789" w14:paraId="46311A85" w14:textId="77777777">
        <w:trPr>
          <w:trHeight w:val="1290"/>
        </w:trPr>
        <w:tc>
          <w:tcPr>
            <w:tcW w:w="0" w:type="auto"/>
            <w:shd w:val="clear" w:color="auto" w:fill="auto"/>
            <w:vAlign w:val="bottom"/>
          </w:tcPr>
          <w:p w14:paraId="42C421FA" w14:textId="77777777" w:rsidR="00F40789" w:rsidRDefault="00F40789">
            <w:pPr>
              <w:spacing w:after="0" w:line="240" w:lineRule="auto"/>
              <w:rPr>
                <w:rFonts w:ascii="Calibri" w:eastAsia="Times New Roman" w:hAnsi="Calibri" w:cs="Times New Roman"/>
                <w:lang w:eastAsia="sk-SK"/>
              </w:rPr>
            </w:pPr>
          </w:p>
        </w:tc>
        <w:tc>
          <w:tcPr>
            <w:tcW w:w="0" w:type="auto"/>
            <w:vMerge/>
            <w:vAlign w:val="center"/>
          </w:tcPr>
          <w:p w14:paraId="795848B6" w14:textId="77777777" w:rsidR="00F40789" w:rsidRDefault="00F40789">
            <w:pPr>
              <w:spacing w:after="0" w:line="240" w:lineRule="auto"/>
              <w:rPr>
                <w:rFonts w:ascii="Calibri" w:eastAsia="Times New Roman" w:hAnsi="Calibri" w:cs="Times New Roman"/>
                <w:lang w:eastAsia="sk-SK"/>
              </w:rPr>
            </w:pPr>
          </w:p>
        </w:tc>
        <w:tc>
          <w:tcPr>
            <w:tcW w:w="0" w:type="auto"/>
            <w:shd w:val="clear" w:color="000000" w:fill="D9E1F2"/>
            <w:vAlign w:val="center"/>
          </w:tcPr>
          <w:p w14:paraId="4AEA669A" w14:textId="77777777" w:rsidR="00F40789" w:rsidRDefault="00C1470C">
            <w:pPr>
              <w:spacing w:after="0" w:line="240" w:lineRule="auto"/>
              <w:rPr>
                <w:rFonts w:ascii="Calibri" w:eastAsia="Times New Roman" w:hAnsi="Calibri" w:cs="Times New Roman"/>
                <w:lang w:eastAsia="sk-SK"/>
              </w:rPr>
            </w:pPr>
            <w:hyperlink r:id="rId22" w:anchor="Expl.OCA12!A1" w:history="1">
              <w:r w:rsidR="000A3EA7">
                <w:rPr>
                  <w:rFonts w:ascii="Calibri" w:eastAsia="Times New Roman" w:hAnsi="Calibri" w:cs="Times New Roman"/>
                  <w:lang w:eastAsia="sk-SK"/>
                </w:rPr>
                <w:t>OCA12. Typ výstupu (ak nie je výstup registrovaný v CREPČ alebo CREUČ) / Type of the output (if the output is not registered in CRPA or CRAA)</w:t>
              </w:r>
              <w:r w:rsidR="000A3EA7">
                <w:rPr>
                  <w:rFonts w:ascii="Calibri" w:eastAsia="Times New Roman" w:hAnsi="Calibri" w:cs="Times New Roman"/>
                  <w:lang w:eastAsia="sk-SK"/>
                </w:rPr>
                <w:br/>
              </w:r>
            </w:hyperlink>
          </w:p>
        </w:tc>
        <w:tc>
          <w:tcPr>
            <w:tcW w:w="0" w:type="auto"/>
            <w:shd w:val="clear" w:color="auto" w:fill="auto"/>
          </w:tcPr>
          <w:p w14:paraId="1D6EFEC9" w14:textId="77777777" w:rsidR="00F40789" w:rsidRDefault="000A3EA7">
            <w:pPr>
              <w:spacing w:after="0" w:line="240" w:lineRule="auto"/>
              <w:rPr>
                <w:rFonts w:ascii="Calibri" w:eastAsia="Times New Roman" w:hAnsi="Calibri" w:cs="Times New Roman"/>
                <w:iCs/>
                <w:lang w:eastAsia="sk-SK"/>
              </w:rPr>
            </w:pPr>
            <w:r>
              <w:rPr>
                <w:rFonts w:ascii="Calibri" w:eastAsia="Times New Roman" w:hAnsi="Calibri" w:cs="Times New Roman"/>
                <w:i/>
                <w:iCs/>
                <w:lang w:eastAsia="sk-SK"/>
              </w:rPr>
              <w:t> </w:t>
            </w:r>
            <w:r>
              <w:rPr>
                <w:rFonts w:ascii="Calibri" w:eastAsia="Times New Roman" w:hAnsi="Calibri" w:cs="Times New Roman"/>
                <w:iCs/>
                <w:lang w:eastAsia="sk-SK"/>
              </w:rPr>
              <w:t>x</w:t>
            </w:r>
          </w:p>
        </w:tc>
      </w:tr>
      <w:tr w:rsidR="00F40789" w14:paraId="6EE7F50D" w14:textId="77777777">
        <w:trPr>
          <w:trHeight w:val="1110"/>
        </w:trPr>
        <w:tc>
          <w:tcPr>
            <w:tcW w:w="0" w:type="auto"/>
            <w:shd w:val="clear" w:color="auto" w:fill="auto"/>
            <w:vAlign w:val="bottom"/>
          </w:tcPr>
          <w:p w14:paraId="64D32E51" w14:textId="77777777" w:rsidR="00F40789" w:rsidRDefault="00F40789">
            <w:pPr>
              <w:spacing w:after="0" w:line="240" w:lineRule="auto"/>
              <w:rPr>
                <w:rFonts w:ascii="Calibri" w:eastAsia="Times New Roman" w:hAnsi="Calibri" w:cs="Times New Roman"/>
                <w:i/>
                <w:iCs/>
                <w:lang w:eastAsia="sk-SK"/>
              </w:rPr>
            </w:pPr>
          </w:p>
        </w:tc>
        <w:tc>
          <w:tcPr>
            <w:tcW w:w="0" w:type="auto"/>
            <w:vMerge/>
            <w:vAlign w:val="center"/>
          </w:tcPr>
          <w:p w14:paraId="14A4B6A4" w14:textId="77777777" w:rsidR="00F40789" w:rsidRDefault="00F40789">
            <w:pPr>
              <w:spacing w:after="0" w:line="240" w:lineRule="auto"/>
              <w:rPr>
                <w:rFonts w:ascii="Calibri" w:eastAsia="Times New Roman" w:hAnsi="Calibri" w:cs="Times New Roman"/>
                <w:lang w:eastAsia="sk-SK"/>
              </w:rPr>
            </w:pPr>
          </w:p>
        </w:tc>
        <w:tc>
          <w:tcPr>
            <w:tcW w:w="0" w:type="auto"/>
            <w:shd w:val="clear" w:color="FBE5D6" w:fill="DAE3F3"/>
            <w:vAlign w:val="center"/>
          </w:tcPr>
          <w:p w14:paraId="0DFF638F"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OCA13. </w:t>
            </w:r>
            <w:r>
              <w:rPr>
                <w:rFonts w:ascii="Calibri" w:eastAsia="Times New Roman" w:hAnsi="Calibri" w:cs="Times New Roman"/>
                <w:b/>
                <w:lang w:eastAsia="sk-SK"/>
              </w:rPr>
              <w:t>Hyperlink na stránku, na ktorej je výstup sprístupnený</w:t>
            </w:r>
            <w:r>
              <w:rPr>
                <w:rFonts w:ascii="Calibri" w:eastAsia="Times New Roman" w:hAnsi="Calibri" w:cs="Times New Roman"/>
                <w:lang w:eastAsia="sk-SK"/>
              </w:rPr>
              <w:t xml:space="preserve"> (úplný text, iná dokumentácia a podobne) / Hyperlink to the webpage where the output is available (full text, other documentation, etc.)</w:t>
            </w:r>
          </w:p>
        </w:tc>
        <w:tc>
          <w:tcPr>
            <w:tcW w:w="0" w:type="auto"/>
            <w:shd w:val="clear" w:color="auto" w:fill="auto"/>
          </w:tcPr>
          <w:p w14:paraId="199B1E59"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lang w:val="en-US" w:eastAsia="sk-SK"/>
              </w:rPr>
              <w:t>x</w:t>
            </w:r>
          </w:p>
        </w:tc>
      </w:tr>
      <w:tr w:rsidR="00F40789" w14:paraId="37D9472B" w14:textId="77777777">
        <w:trPr>
          <w:trHeight w:val="765"/>
        </w:trPr>
        <w:tc>
          <w:tcPr>
            <w:tcW w:w="0" w:type="auto"/>
            <w:shd w:val="clear" w:color="auto" w:fill="auto"/>
            <w:vAlign w:val="bottom"/>
          </w:tcPr>
          <w:p w14:paraId="53B0E0D1" w14:textId="77777777" w:rsidR="00F40789" w:rsidRDefault="00F40789">
            <w:pPr>
              <w:spacing w:after="0" w:line="240" w:lineRule="auto"/>
              <w:rPr>
                <w:rFonts w:ascii="Calibri" w:eastAsia="Times New Roman" w:hAnsi="Calibri" w:cs="Times New Roman"/>
                <w:lang w:eastAsia="sk-SK"/>
              </w:rPr>
            </w:pPr>
          </w:p>
        </w:tc>
        <w:tc>
          <w:tcPr>
            <w:tcW w:w="0" w:type="auto"/>
            <w:vMerge/>
            <w:vAlign w:val="center"/>
          </w:tcPr>
          <w:p w14:paraId="43AD9DBF" w14:textId="77777777" w:rsidR="00F40789" w:rsidRDefault="00F40789">
            <w:pPr>
              <w:spacing w:after="0" w:line="240" w:lineRule="auto"/>
              <w:rPr>
                <w:rFonts w:ascii="Calibri" w:eastAsia="Times New Roman" w:hAnsi="Calibri" w:cs="Times New Roman"/>
                <w:lang w:eastAsia="sk-SK"/>
              </w:rPr>
            </w:pPr>
          </w:p>
        </w:tc>
        <w:tc>
          <w:tcPr>
            <w:tcW w:w="0" w:type="auto"/>
            <w:shd w:val="clear" w:color="FBE5D6" w:fill="DAE3F3"/>
            <w:vAlign w:val="center"/>
          </w:tcPr>
          <w:p w14:paraId="768990D5"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OCA14. Charakteristika autorského vkladu / Characteristics of the author's contribution</w:t>
            </w:r>
          </w:p>
        </w:tc>
        <w:tc>
          <w:tcPr>
            <w:tcW w:w="0" w:type="auto"/>
            <w:shd w:val="clear" w:color="auto" w:fill="auto"/>
          </w:tcPr>
          <w:p w14:paraId="16864387"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val="en-US" w:eastAsia="sk-SK"/>
              </w:rPr>
              <w:t>A</w:t>
            </w:r>
            <w:r>
              <w:rPr>
                <w:rFonts w:ascii="Calibri" w:eastAsia="Times New Roman" w:hAnsi="Calibri" w:cs="Times New Roman"/>
                <w:lang w:eastAsia="sk-SK"/>
              </w:rPr>
              <w:t xml:space="preserve">utor / </w:t>
            </w:r>
            <w:r>
              <w:rPr>
                <w:rFonts w:ascii="Calibri" w:eastAsia="Times New Roman" w:hAnsi="Calibri" w:cs="Times New Roman"/>
                <w:lang w:val="en-US" w:eastAsia="sk-SK"/>
              </w:rPr>
              <w:t>A</w:t>
            </w:r>
            <w:r>
              <w:rPr>
                <w:rFonts w:ascii="Calibri" w:eastAsia="Times New Roman" w:hAnsi="Calibri" w:cs="Times New Roman"/>
                <w:lang w:eastAsia="sk-SK"/>
              </w:rPr>
              <w:t>uthor</w:t>
            </w:r>
          </w:p>
        </w:tc>
      </w:tr>
      <w:tr w:rsidR="00F40789" w14:paraId="41DCC4D3" w14:textId="77777777">
        <w:trPr>
          <w:trHeight w:val="2310"/>
        </w:trPr>
        <w:tc>
          <w:tcPr>
            <w:tcW w:w="0" w:type="auto"/>
            <w:shd w:val="clear" w:color="auto" w:fill="auto"/>
            <w:vAlign w:val="bottom"/>
          </w:tcPr>
          <w:p w14:paraId="258C0E25" w14:textId="77777777" w:rsidR="00F40789" w:rsidRDefault="00F40789">
            <w:pPr>
              <w:spacing w:after="0" w:line="240" w:lineRule="auto"/>
              <w:rPr>
                <w:rFonts w:ascii="Calibri" w:eastAsia="Times New Roman" w:hAnsi="Calibri" w:cs="Times New Roman"/>
                <w:lang w:eastAsia="sk-SK"/>
              </w:rPr>
            </w:pPr>
          </w:p>
        </w:tc>
        <w:tc>
          <w:tcPr>
            <w:tcW w:w="0" w:type="auto"/>
            <w:vMerge/>
            <w:vAlign w:val="center"/>
          </w:tcPr>
          <w:p w14:paraId="09076CE6" w14:textId="77777777" w:rsidR="00F40789" w:rsidRDefault="00F40789">
            <w:pPr>
              <w:spacing w:after="0" w:line="240" w:lineRule="auto"/>
              <w:rPr>
                <w:rFonts w:ascii="Calibri" w:eastAsia="Times New Roman" w:hAnsi="Calibri" w:cs="Times New Roman"/>
                <w:lang w:eastAsia="sk-SK"/>
              </w:rPr>
            </w:pPr>
          </w:p>
        </w:tc>
        <w:tc>
          <w:tcPr>
            <w:tcW w:w="0" w:type="auto"/>
            <w:shd w:val="clear" w:color="000000" w:fill="D9E1F2"/>
            <w:vAlign w:val="center"/>
          </w:tcPr>
          <w:p w14:paraId="7CE963A8" w14:textId="77777777" w:rsidR="00F40789" w:rsidRDefault="00C1470C">
            <w:pPr>
              <w:spacing w:after="0" w:line="240" w:lineRule="auto"/>
              <w:rPr>
                <w:rFonts w:ascii="Calibri" w:eastAsia="Times New Roman" w:hAnsi="Calibri" w:cs="Times New Roman"/>
                <w:lang w:eastAsia="sk-SK"/>
              </w:rPr>
            </w:pPr>
            <w:hyperlink r:id="rId23" w:anchor="'poznamky_explanatory notes'!A1" w:history="1">
              <w:r w:rsidR="000A3EA7">
                <w:rPr>
                  <w:rFonts w:ascii="Calibri" w:eastAsia="Times New Roman" w:hAnsi="Calibri" w:cs="Times New Roman"/>
                  <w:lang w:eastAsia="sk-SK"/>
                </w:rPr>
                <w:t xml:space="preserve">OCA15. </w:t>
              </w:r>
              <w:r w:rsidR="000A3EA7">
                <w:rPr>
                  <w:rFonts w:ascii="Calibri" w:eastAsia="Times New Roman" w:hAnsi="Calibri" w:cs="Times New Roman"/>
                  <w:b/>
                  <w:lang w:eastAsia="sk-SK"/>
                </w:rPr>
                <w:t>Anotácia výstupu s kontextovými informáciami týkajúcimi sa opisu tvorivého procesu a obsahu tvorivej činnosti a pod</w:t>
              </w:r>
              <w:r w:rsidR="000A3EA7">
                <w:rPr>
                  <w:rFonts w:ascii="Calibri" w:eastAsia="Times New Roman" w:hAnsi="Calibri" w:cs="Times New Roman"/>
                  <w:lang w:eastAsia="sk-SK"/>
                </w:rPr>
                <w:t xml:space="preserve">. / Annotation of the output with contextual information concerning the description of creative process and the content of the </w:t>
              </w:r>
              <w:r w:rsidR="000A3EA7">
                <w:rPr>
                  <w:rFonts w:ascii="Calibri" w:eastAsia="Times New Roman" w:hAnsi="Calibri" w:cs="Times New Roman"/>
                  <w:lang w:eastAsia="sk-SK"/>
                </w:rPr>
                <w:lastRenderedPageBreak/>
                <w:t xml:space="preserve">research/artistic/other activity, etc. </w:t>
              </w:r>
              <w:r w:rsidR="000A3EA7">
                <w:rPr>
                  <w:rStyle w:val="Odkaznapoznmkupodiarou"/>
                  <w:rFonts w:ascii="Calibri" w:eastAsia="Times New Roman" w:hAnsi="Calibri" w:cs="Times New Roman"/>
                  <w:lang w:eastAsia="sk-SK"/>
                </w:rPr>
                <w:footnoteReference w:id="8"/>
              </w:r>
              <w:r w:rsidR="000A3EA7">
                <w:rPr>
                  <w:rFonts w:ascii="Calibri" w:eastAsia="Times New Roman" w:hAnsi="Calibri" w:cs="Times New Roman"/>
                  <w:lang w:eastAsia="sk-SK"/>
                </w:rPr>
                <w:br w:type="page"/>
              </w:r>
              <w:r w:rsidR="000A3EA7">
                <w:rPr>
                  <w:rFonts w:ascii="Calibri" w:eastAsia="Times New Roman" w:hAnsi="Calibri" w:cs="Times New Roman"/>
                  <w:i/>
                  <w:iCs/>
                  <w:lang w:eastAsia="sk-SK"/>
                </w:rPr>
                <w:t>Rozsah do 200 slov v slovenskom jazyku / Range up to 200 words in Slovak</w:t>
              </w:r>
              <w:r w:rsidR="000A3EA7">
                <w:rPr>
                  <w:rFonts w:ascii="Calibri" w:eastAsia="Times New Roman" w:hAnsi="Calibri" w:cs="Times New Roman"/>
                  <w:i/>
                  <w:iCs/>
                  <w:lang w:eastAsia="sk-SK"/>
                </w:rPr>
                <w:br w:type="page"/>
                <w:t xml:space="preserve">Rozsah do 200 slov v anglickom jazyku / Range up to 200 words in English </w:t>
              </w:r>
            </w:hyperlink>
          </w:p>
        </w:tc>
        <w:tc>
          <w:tcPr>
            <w:tcW w:w="0" w:type="auto"/>
            <w:shd w:val="clear" w:color="auto" w:fill="auto"/>
          </w:tcPr>
          <w:p w14:paraId="5EBEBD26" w14:textId="77777777" w:rsidR="00F40789" w:rsidRDefault="000A3EA7">
            <w:pPr>
              <w:pStyle w:val="NormalWeb1"/>
              <w:spacing w:before="0" w:after="0"/>
              <w:jc w:val="both"/>
              <w:rPr>
                <w:rStyle w:val="Vrazn"/>
                <w:rFonts w:ascii="Calibri" w:hAnsi="Calibri" w:cs="Calibri"/>
                <w:b w:val="0"/>
                <w:bCs w:val="0"/>
                <w:sz w:val="22"/>
                <w:szCs w:val="22"/>
                <w:lang w:val="sk-SK"/>
              </w:rPr>
            </w:pPr>
            <w:r>
              <w:rPr>
                <w:rFonts w:ascii="Calibri" w:hAnsi="Calibri" w:cs="Calibri"/>
                <w:sz w:val="22"/>
                <w:szCs w:val="22"/>
                <w:lang w:val="sk-SK"/>
              </w:rPr>
              <w:lastRenderedPageBreak/>
              <w:t>Cieľom vedeckej monografie je objasniť právne postavenie utečenca/žiadateľa o azyl prostredníctvom právnych záruk jeho ochrany na základe analýzy Ústavy Slovenskej republiky, medzinárodných zmlúv a právne záväzných aktov Európskej únie. Nepovšimnutou nezostala ani judikatúra Európskeho súdu pre ľudské práva a Súdneho dvora Európskej únie, ktorá je nezastupiteľným zdrojom poznania pre interpretáciu azylového práva v spoločnom európskom právnom a politickom priestore. Vedecký výstup objasňuje obsah a právnu povahu</w:t>
            </w:r>
            <w:r>
              <w:rPr>
                <w:rStyle w:val="Vrazn"/>
                <w:rFonts w:ascii="Calibri" w:hAnsi="Calibri" w:cs="Calibri"/>
                <w:b w:val="0"/>
                <w:bCs w:val="0"/>
                <w:sz w:val="22"/>
                <w:szCs w:val="22"/>
                <w:lang w:val="sk-SK"/>
              </w:rPr>
              <w:t xml:space="preserve"> práva na azyl, záruky ochrany vyplývajú z medzinárodného práva a právne zásady azylového práva. Autorka navrhuje námety na novelizáciu zákona o azyle.  </w:t>
            </w:r>
          </w:p>
          <w:p w14:paraId="566B4580" w14:textId="77777777" w:rsidR="00F40789" w:rsidRDefault="000A3EA7">
            <w:pPr>
              <w:spacing w:after="0" w:line="240" w:lineRule="auto"/>
              <w:rPr>
                <w:rFonts w:ascii="Calibri" w:eastAsia="Times New Roman" w:hAnsi="Calibri" w:cs="Calibri"/>
                <w:lang w:eastAsia="sk-SK"/>
              </w:rPr>
            </w:pPr>
            <w:r>
              <w:rPr>
                <w:rFonts w:ascii="Calibri" w:hAnsi="Calibri" w:cs="Calibri"/>
              </w:rPr>
              <w:br/>
            </w:r>
          </w:p>
          <w:p w14:paraId="6C563283" w14:textId="77777777" w:rsidR="00F40789" w:rsidRDefault="00F40789">
            <w:pPr>
              <w:spacing w:after="0" w:line="240" w:lineRule="auto"/>
              <w:jc w:val="both"/>
              <w:rPr>
                <w:rFonts w:ascii="Calibri" w:eastAsia="Times New Roman" w:hAnsi="Calibri" w:cs="Calibri"/>
                <w:i/>
                <w:lang w:val="en-GB" w:eastAsia="sk-SK"/>
              </w:rPr>
            </w:pPr>
          </w:p>
        </w:tc>
      </w:tr>
      <w:tr w:rsidR="00F40789" w14:paraId="4B832B61" w14:textId="77777777">
        <w:trPr>
          <w:trHeight w:val="915"/>
        </w:trPr>
        <w:tc>
          <w:tcPr>
            <w:tcW w:w="0" w:type="auto"/>
            <w:shd w:val="clear" w:color="auto" w:fill="auto"/>
            <w:vAlign w:val="bottom"/>
          </w:tcPr>
          <w:p w14:paraId="4D77A898"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000000" w:fill="D9E1F2"/>
            <w:vAlign w:val="center"/>
          </w:tcPr>
          <w:p w14:paraId="028BB62D" w14:textId="77777777" w:rsidR="00F40789" w:rsidRDefault="00C1470C">
            <w:pPr>
              <w:spacing w:after="0" w:line="240" w:lineRule="auto"/>
              <w:rPr>
                <w:rFonts w:ascii="Calibri" w:eastAsia="Times New Roman" w:hAnsi="Calibri" w:cs="Times New Roman"/>
                <w:lang w:eastAsia="sk-SK"/>
              </w:rPr>
            </w:pPr>
            <w:hyperlink r:id="rId24" w:anchor="'poznamky_explanatory notes'!A1" w:history="1">
              <w:r w:rsidR="000A3EA7">
                <w:rPr>
                  <w:rFonts w:ascii="Calibri" w:eastAsia="Times New Roman" w:hAnsi="Calibri" w:cs="Times New Roman"/>
                  <w:lang w:eastAsia="sk-SK"/>
                </w:rPr>
                <w:t xml:space="preserve">OCA16. </w:t>
              </w:r>
              <w:r w:rsidR="000A3EA7">
                <w:rPr>
                  <w:rFonts w:ascii="Calibri" w:eastAsia="Times New Roman" w:hAnsi="Calibri" w:cs="Times New Roman"/>
                  <w:b/>
                  <w:lang w:eastAsia="sk-SK"/>
                </w:rPr>
                <w:t>Anotácia výstupu v anglickom jazyku</w:t>
              </w:r>
              <w:r w:rsidR="000A3EA7">
                <w:rPr>
                  <w:rFonts w:ascii="Calibri" w:eastAsia="Times New Roman" w:hAnsi="Calibri" w:cs="Times New Roman"/>
                  <w:lang w:eastAsia="sk-SK"/>
                </w:rPr>
                <w:t xml:space="preserve"> / Annotation of the output in English </w:t>
              </w:r>
              <w:r w:rsidR="000A3EA7">
                <w:rPr>
                  <w:rStyle w:val="Odkaznapoznmkupodiarou"/>
                  <w:rFonts w:ascii="Calibri" w:eastAsia="Times New Roman" w:hAnsi="Calibri" w:cs="Times New Roman"/>
                  <w:lang w:eastAsia="sk-SK"/>
                </w:rPr>
                <w:footnoteReference w:id="9"/>
              </w:r>
              <w:r w:rsidR="000A3EA7">
                <w:rPr>
                  <w:rFonts w:ascii="Calibri" w:eastAsia="Times New Roman" w:hAnsi="Calibri" w:cs="Times New Roman"/>
                  <w:lang w:eastAsia="sk-SK"/>
                </w:rPr>
                <w:br w:type="page"/>
              </w:r>
              <w:r w:rsidR="000A3EA7">
                <w:rPr>
                  <w:rFonts w:ascii="Calibri" w:eastAsia="Times New Roman" w:hAnsi="Calibri" w:cs="Times New Roman"/>
                  <w:i/>
                  <w:iCs/>
                  <w:lang w:eastAsia="sk-SK"/>
                </w:rPr>
                <w:t>Rozsah do 200 slov / Range up to 200 words</w:t>
              </w:r>
            </w:hyperlink>
          </w:p>
        </w:tc>
        <w:tc>
          <w:tcPr>
            <w:tcW w:w="0" w:type="auto"/>
            <w:shd w:val="clear" w:color="auto" w:fill="auto"/>
          </w:tcPr>
          <w:p w14:paraId="409FBF85" w14:textId="77777777" w:rsidR="00F40789" w:rsidRDefault="000A3EA7">
            <w:pPr>
              <w:spacing w:after="0" w:line="240" w:lineRule="auto"/>
              <w:rPr>
                <w:rFonts w:ascii="Calibri" w:eastAsia="Times New Roman" w:hAnsi="Calibri" w:cs="Times New Roman"/>
                <w:lang w:val="en-US" w:eastAsia="sk-SK"/>
              </w:rPr>
            </w:pPr>
            <w:r>
              <w:rPr>
                <w:rFonts w:ascii="Calibri" w:eastAsia="SimSun" w:hAnsi="Calibri" w:cs="Calibri"/>
                <w:i/>
                <w:iCs/>
                <w:lang w:val="en-US"/>
              </w:rPr>
              <w:t>The aim of the scientific monograph is to clarify the legal status of the refugee/asylum seeker through legal guarantees of his protection based on the analysis of the Constitution of the Slovak Republic, international treaties and legally binding acts of the European Union. The jurisprudence of the European Court of Human Rights and the Court of Justice of the European Union, which is an irreplaceable source of knowledge for the interpretation of the right of asylum in the common European legal and political space, did not go unnoticed either. The scientific output clarifies the content and legal nature of the right to asylum, guarantees of protection arise from international law and the legal principles of the right of asylum. The author proposes topics for amending the Act on Asylum.</w:t>
            </w:r>
          </w:p>
        </w:tc>
      </w:tr>
      <w:tr w:rsidR="00F40789" w14:paraId="73518A0D" w14:textId="77777777">
        <w:trPr>
          <w:trHeight w:val="810"/>
        </w:trPr>
        <w:tc>
          <w:tcPr>
            <w:tcW w:w="0" w:type="auto"/>
            <w:shd w:val="clear" w:color="auto" w:fill="auto"/>
            <w:vAlign w:val="bottom"/>
          </w:tcPr>
          <w:p w14:paraId="02240ED2"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FBE5D6" w:fill="DAE3F3"/>
            <w:vAlign w:val="center"/>
          </w:tcPr>
          <w:p w14:paraId="3C5934F4"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OCA17. </w:t>
            </w:r>
            <w:r>
              <w:rPr>
                <w:rFonts w:ascii="Calibri" w:eastAsia="Times New Roman" w:hAnsi="Calibri" w:cs="Times New Roman"/>
                <w:b/>
                <w:lang w:eastAsia="sk-SK"/>
              </w:rPr>
              <w:t>Zoznam najviac 5 najvýznamnejších ohlasov na výstup</w:t>
            </w:r>
            <w:r>
              <w:rPr>
                <w:rFonts w:ascii="Calibri" w:eastAsia="Times New Roman" w:hAnsi="Calibri" w:cs="Times New Roman"/>
                <w:lang w:eastAsia="sk-SK"/>
              </w:rPr>
              <w:t xml:space="preserve">  / List of maximum 5 most significant citations corresponding to the output </w:t>
            </w:r>
            <w:r>
              <w:rPr>
                <w:rFonts w:ascii="Calibri" w:eastAsia="Times New Roman" w:hAnsi="Calibri" w:cs="Times New Roman"/>
                <w:lang w:eastAsia="sk-SK"/>
              </w:rPr>
              <w:br/>
            </w:r>
            <w:r>
              <w:rPr>
                <w:rFonts w:ascii="Calibri" w:eastAsia="Times New Roman" w:hAnsi="Calibri" w:cs="Times New Roman"/>
                <w:i/>
                <w:iCs/>
                <w:lang w:eastAsia="sk-SK"/>
              </w:rPr>
              <w:t>Rozsah do 200 slov / Range up to 200 words</w:t>
            </w:r>
          </w:p>
        </w:tc>
        <w:tc>
          <w:tcPr>
            <w:tcW w:w="0" w:type="auto"/>
            <w:shd w:val="clear" w:color="auto" w:fill="auto"/>
          </w:tcPr>
          <w:p w14:paraId="455143FE"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lang w:val="en-US" w:eastAsia="sk-SK"/>
              </w:rPr>
              <w:t>x</w:t>
            </w:r>
          </w:p>
          <w:p w14:paraId="59AA3F76" w14:textId="77777777" w:rsidR="00F40789" w:rsidRDefault="00F40789">
            <w:pPr>
              <w:spacing w:after="0" w:line="240" w:lineRule="auto"/>
              <w:rPr>
                <w:rFonts w:ascii="Calibri" w:eastAsia="Times New Roman" w:hAnsi="Calibri" w:cs="Times New Roman"/>
                <w:lang w:eastAsia="sk-SK"/>
              </w:rPr>
            </w:pPr>
          </w:p>
        </w:tc>
      </w:tr>
      <w:tr w:rsidR="00F40789" w14:paraId="10248D86" w14:textId="77777777">
        <w:trPr>
          <w:trHeight w:val="1170"/>
        </w:trPr>
        <w:tc>
          <w:tcPr>
            <w:tcW w:w="0" w:type="auto"/>
            <w:shd w:val="clear" w:color="auto" w:fill="auto"/>
            <w:vAlign w:val="bottom"/>
          </w:tcPr>
          <w:p w14:paraId="1A29FC0D"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FBE5D6" w:fill="DAE3F3"/>
            <w:vAlign w:val="center"/>
          </w:tcPr>
          <w:p w14:paraId="57B744C8"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OCA18. </w:t>
            </w:r>
            <w:r>
              <w:rPr>
                <w:rFonts w:ascii="Calibri" w:eastAsia="Times New Roman" w:hAnsi="Calibri" w:cs="Times New Roman"/>
                <w:b/>
                <w:lang w:eastAsia="sk-SK"/>
              </w:rPr>
              <w:t>Charakteristika dopadu výstupu na spoločensko-hospodársku prax</w:t>
            </w:r>
            <w:r>
              <w:rPr>
                <w:rFonts w:ascii="Calibri" w:eastAsia="Times New Roman" w:hAnsi="Calibri" w:cs="Times New Roman"/>
                <w:lang w:eastAsia="sk-SK"/>
              </w:rPr>
              <w:t xml:space="preserve"> / Characteristics of the output's impact on socio-economic practice </w:t>
            </w:r>
            <w:r>
              <w:rPr>
                <w:rFonts w:ascii="Calibri" w:eastAsia="Times New Roman" w:hAnsi="Calibri" w:cs="Times New Roman"/>
                <w:lang w:eastAsia="sk-SK"/>
              </w:rPr>
              <w:br/>
            </w:r>
            <w:r>
              <w:rPr>
                <w:rFonts w:ascii="Calibri" w:eastAsia="Times New Roman" w:hAnsi="Calibri" w:cs="Times New Roman"/>
                <w:i/>
                <w:iCs/>
                <w:lang w:eastAsia="sk-SK"/>
              </w:rPr>
              <w:t>Rozsah do 200 slov v slovenskom jazyku / Range up to 200 words in Slovak</w:t>
            </w:r>
            <w:r>
              <w:rPr>
                <w:rFonts w:ascii="Calibri" w:eastAsia="Times New Roman" w:hAnsi="Calibri" w:cs="Times New Roman"/>
                <w:i/>
                <w:iCs/>
                <w:lang w:eastAsia="sk-SK"/>
              </w:rPr>
              <w:br/>
              <w:t>Rozsah do 200 slov v anglickom jazyku / Range up to 200 words in English</w:t>
            </w:r>
          </w:p>
        </w:tc>
        <w:tc>
          <w:tcPr>
            <w:tcW w:w="0" w:type="auto"/>
            <w:shd w:val="clear" w:color="auto" w:fill="auto"/>
          </w:tcPr>
          <w:p w14:paraId="2CD68021" w14:textId="77777777" w:rsidR="00F40789" w:rsidRDefault="00F40789">
            <w:pPr>
              <w:pStyle w:val="NormalWeb1"/>
              <w:spacing w:before="0" w:after="0"/>
              <w:ind w:firstLine="697"/>
              <w:jc w:val="both"/>
              <w:rPr>
                <w:lang w:val="sk-SK"/>
              </w:rPr>
            </w:pPr>
          </w:p>
          <w:p w14:paraId="3BFE32CD" w14:textId="77777777" w:rsidR="00F40789" w:rsidRDefault="000A3EA7">
            <w:pPr>
              <w:pStyle w:val="NormalWeb1"/>
              <w:spacing w:before="0" w:after="0"/>
              <w:jc w:val="both"/>
              <w:rPr>
                <w:rFonts w:ascii="Calibri" w:hAnsi="Calibri" w:cs="Calibri"/>
                <w:sz w:val="22"/>
                <w:szCs w:val="22"/>
                <w:lang w:val="sk-SK"/>
              </w:rPr>
            </w:pPr>
            <w:r>
              <w:rPr>
                <w:rFonts w:ascii="Calibri" w:hAnsi="Calibri" w:cs="Calibri"/>
                <w:sz w:val="22"/>
                <w:szCs w:val="22"/>
                <w:lang w:val="sk-SK"/>
              </w:rPr>
              <w:t xml:space="preserve">V záujme zabezpečenia účinnosti spoločného európskeho azylového systému </w:t>
            </w:r>
            <w:r>
              <w:rPr>
                <w:rFonts w:ascii="Calibri" w:hAnsi="Calibri" w:cs="Calibri"/>
                <w:sz w:val="22"/>
                <w:szCs w:val="22"/>
              </w:rPr>
              <w:t xml:space="preserve">Európska komisia </w:t>
            </w:r>
            <w:r>
              <w:rPr>
                <w:rFonts w:ascii="Calibri" w:hAnsi="Calibri" w:cs="Calibri"/>
                <w:sz w:val="22"/>
                <w:szCs w:val="22"/>
                <w:lang w:val="sk-SK"/>
              </w:rPr>
              <w:t xml:space="preserve">dňa </w:t>
            </w:r>
            <w:r>
              <w:rPr>
                <w:rFonts w:ascii="Calibri" w:hAnsi="Calibri" w:cs="Calibri"/>
                <w:sz w:val="22"/>
                <w:szCs w:val="22"/>
              </w:rPr>
              <w:t xml:space="preserve">23. septembra </w:t>
            </w:r>
            <w:r>
              <w:rPr>
                <w:rFonts w:ascii="Calibri" w:hAnsi="Calibri" w:cs="Calibri"/>
                <w:sz w:val="22"/>
                <w:szCs w:val="22"/>
                <w:lang w:val="sk-SK"/>
              </w:rPr>
              <w:t xml:space="preserve">2020 </w:t>
            </w:r>
            <w:r>
              <w:rPr>
                <w:rFonts w:ascii="Calibri" w:hAnsi="Calibri" w:cs="Calibri"/>
                <w:sz w:val="22"/>
                <w:szCs w:val="22"/>
              </w:rPr>
              <w:t>predstavila</w:t>
            </w:r>
            <w:r>
              <w:rPr>
                <w:rFonts w:ascii="Calibri" w:hAnsi="Calibri" w:cs="Calibri"/>
                <w:i/>
                <w:iCs/>
                <w:sz w:val="22"/>
                <w:szCs w:val="22"/>
              </w:rPr>
              <w:t xml:space="preserve"> </w:t>
            </w:r>
            <w:hyperlink r:id="rId25" w:anchor="_blank" w:history="1">
              <w:r>
                <w:rPr>
                  <w:rStyle w:val="Hypertextovprepojenie"/>
                  <w:rFonts w:ascii="Calibri" w:hAnsi="Calibri" w:cs="Calibri"/>
                  <w:color w:val="auto"/>
                  <w:sz w:val="22"/>
                  <w:szCs w:val="22"/>
                  <w:u w:val="none"/>
                  <w:lang w:val="sk-SK"/>
                </w:rPr>
                <w:t>N</w:t>
              </w:r>
              <w:r>
                <w:rPr>
                  <w:rStyle w:val="Hypertextovprepojenie"/>
                  <w:rFonts w:ascii="Calibri" w:hAnsi="Calibri" w:cs="Calibri"/>
                  <w:color w:val="auto"/>
                  <w:sz w:val="22"/>
                  <w:szCs w:val="22"/>
                  <w:u w:val="none"/>
                </w:rPr>
                <w:t>ový pakt o migrácii a azyle</w:t>
              </w:r>
            </w:hyperlink>
            <w:r>
              <w:rPr>
                <w:rFonts w:ascii="Calibri" w:hAnsi="Calibri" w:cs="Calibri"/>
                <w:sz w:val="22"/>
                <w:szCs w:val="22"/>
                <w:lang w:val="sk-SK"/>
              </w:rPr>
              <w:t xml:space="preserve">, ktorý je reakciou na migračnú krízu z roku 2015. Pakt vychádza zo zásady </w:t>
            </w:r>
            <w:r>
              <w:rPr>
                <w:rFonts w:ascii="Calibri" w:hAnsi="Calibri" w:cs="Calibri"/>
                <w:sz w:val="22"/>
                <w:szCs w:val="22"/>
              </w:rPr>
              <w:t xml:space="preserve">„férového rozdelenia zodpovednosti a solidarity“. </w:t>
            </w:r>
          </w:p>
          <w:p w14:paraId="21EFC0E2" w14:textId="77777777" w:rsidR="00F40789" w:rsidRDefault="000A3EA7">
            <w:pPr>
              <w:pStyle w:val="NormalWeb1"/>
              <w:spacing w:before="0" w:after="0"/>
              <w:jc w:val="both"/>
              <w:rPr>
                <w:rFonts w:ascii="Calibri" w:hAnsi="Calibri" w:cs="Calibri"/>
                <w:sz w:val="22"/>
                <w:szCs w:val="22"/>
                <w:lang w:val="sk-SK"/>
              </w:rPr>
            </w:pPr>
            <w:r>
              <w:rPr>
                <w:rFonts w:ascii="Calibri" w:hAnsi="Calibri" w:cs="Calibri"/>
                <w:sz w:val="22"/>
                <w:szCs w:val="22"/>
                <w:lang w:val="sk-SK"/>
              </w:rPr>
              <w:t xml:space="preserve">Keďže podstata fungovania spoločného európskeho azylového systému spočíva na spoločných procesnoprávnych pravidlách, opatrenia zahrnuté v Pláne na vykonanie Nového paktu o migrácii a azyle sa týkajú konania o medzinárodnej ochrane, ktorého súčasťou je konanie o azyle. </w:t>
            </w:r>
          </w:p>
          <w:p w14:paraId="05C772D9" w14:textId="77777777" w:rsidR="00F40789" w:rsidRDefault="000A3EA7">
            <w:pPr>
              <w:pStyle w:val="NormalWeb1"/>
              <w:spacing w:before="0" w:after="0"/>
              <w:jc w:val="both"/>
              <w:rPr>
                <w:rFonts w:ascii="Calibri" w:hAnsi="Calibri" w:cs="Calibri"/>
                <w:sz w:val="22"/>
                <w:szCs w:val="22"/>
                <w:lang w:val="sk-SK"/>
              </w:rPr>
            </w:pPr>
            <w:r>
              <w:rPr>
                <w:rFonts w:ascii="Calibri" w:hAnsi="Calibri" w:cs="Calibri"/>
                <w:sz w:val="22"/>
                <w:szCs w:val="22"/>
                <w:lang w:val="sk-SK"/>
              </w:rPr>
              <w:t xml:space="preserve">Správne nastavené pravidlá európskeho azylového systému umožňuje úspešne čeliť výzvam spojených s politickými a právnymi záväzkami Slovenskej republiky ako členského štátu Európskej únie, ktoré musí dôsledne plniť aj na základe právne záväzných aktov Európskej únie. Dôležitú úlohu zohráva v tomto ohľade predovšetkým aplikácia právnych noriem, ktorá je prostriedkom na úspešné </w:t>
            </w:r>
            <w:r>
              <w:rPr>
                <w:rFonts w:ascii="Calibri" w:hAnsi="Calibri" w:cs="Calibri"/>
                <w:sz w:val="22"/>
                <w:szCs w:val="22"/>
                <w:lang w:val="sk-SK"/>
              </w:rPr>
              <w:lastRenderedPageBreak/>
              <w:t>zvládnutie utečeneckej vlny  zo strany štátnych orgánov aj v roku 2022 a tým aj zníženia rizika dopadu nezákonných rozhodnutí a rizika žalôb Európskej komisie voči Slovenskej republike za ich nedodržanie.</w:t>
            </w:r>
          </w:p>
          <w:p w14:paraId="4F8DB304" w14:textId="77777777" w:rsidR="00F40789" w:rsidRDefault="00F40789">
            <w:pPr>
              <w:spacing w:after="0"/>
              <w:jc w:val="both"/>
              <w:rPr>
                <w:rFonts w:ascii="SimSun" w:eastAsia="SimSun" w:hAnsi="SimSun" w:cs="SimSun"/>
                <w:sz w:val="24"/>
                <w:szCs w:val="24"/>
                <w:lang w:val="sk"/>
              </w:rPr>
            </w:pPr>
          </w:p>
          <w:p w14:paraId="0A198589" w14:textId="77777777" w:rsidR="00F40789" w:rsidRDefault="000A3EA7">
            <w:pPr>
              <w:spacing w:after="0"/>
              <w:jc w:val="both"/>
              <w:rPr>
                <w:rFonts w:ascii="Calibri" w:eastAsia="Times New Roman" w:hAnsi="Calibri" w:cs="Times New Roman"/>
                <w:lang w:eastAsia="sk-SK"/>
              </w:rPr>
            </w:pPr>
            <w:r>
              <w:rPr>
                <w:rFonts w:ascii="Calibri" w:eastAsia="SimSun" w:hAnsi="Calibri" w:cs="Calibri"/>
                <w:i/>
                <w:iCs/>
                <w:lang w:val="en-US"/>
              </w:rPr>
              <w:t>In order to ensure the effectiveness of the common European asylum system, on 23 September 2020 the European Commission presented the New Pact on Migration and Asylum, which is a response to the migration crisis of 2015. The Pact is based on the principle of "fair sharing of responsibility and solidarity". As the essence of the functioning of the common European asylum system rests on common procedural rules, the measures included in the Plan for the implementation of the New Pact on Migration and Asylum relate to international protection proceedings, which includes asylum proceedings. Correctly set rules of the E</w:t>
            </w:r>
            <w:r>
              <w:rPr>
                <w:rFonts w:ascii="Calibri" w:eastAsia="SimSun" w:hAnsi="Calibri" w:cs="Calibri"/>
                <w:i/>
                <w:iCs/>
              </w:rPr>
              <w:t>AS</w:t>
            </w:r>
            <w:r>
              <w:rPr>
                <w:rFonts w:ascii="Calibri" w:eastAsia="SimSun" w:hAnsi="Calibri" w:cs="Calibri"/>
                <w:i/>
                <w:iCs/>
                <w:lang w:val="en-US"/>
              </w:rPr>
              <w:t xml:space="preserve"> make it possible to successfully face the challenges associated with the political and legal obligations of the Slovak Republic as a member state of the European Union, which it must consistently fulfill also on the basis of legally binding acts of the European Union. In this respect, the application of legal standards plays an important role, which is a means of successfully managing the wave of refugees by the state authorities even in 2022 and thereby reducing the risk of the impact of illegal decisions and the risk of lawsuits by </w:t>
            </w:r>
            <w:r>
              <w:rPr>
                <w:rFonts w:ascii="Calibri" w:eastAsia="SimSun" w:hAnsi="Calibri" w:cs="Calibri"/>
                <w:lang w:val="en-US"/>
              </w:rPr>
              <w:t>the European Commission against the Slovak Republic for non-compliance.</w:t>
            </w:r>
          </w:p>
        </w:tc>
      </w:tr>
      <w:tr w:rsidR="00F40789" w14:paraId="2E73AD07" w14:textId="77777777">
        <w:trPr>
          <w:trHeight w:val="831"/>
        </w:trPr>
        <w:tc>
          <w:tcPr>
            <w:tcW w:w="0" w:type="auto"/>
            <w:shd w:val="clear" w:color="auto" w:fill="auto"/>
            <w:vAlign w:val="bottom"/>
          </w:tcPr>
          <w:p w14:paraId="6555FC5C" w14:textId="77777777" w:rsidR="00F40789" w:rsidRDefault="00F40789">
            <w:pPr>
              <w:spacing w:after="0" w:line="240" w:lineRule="auto"/>
              <w:rPr>
                <w:rFonts w:ascii="Calibri" w:eastAsia="Times New Roman" w:hAnsi="Calibri" w:cs="Times New Roman"/>
                <w:lang w:eastAsia="sk-SK"/>
              </w:rPr>
            </w:pPr>
          </w:p>
        </w:tc>
        <w:tc>
          <w:tcPr>
            <w:tcW w:w="0" w:type="auto"/>
            <w:gridSpan w:val="2"/>
            <w:shd w:val="clear" w:color="FBE5D6" w:fill="DAE3F3"/>
            <w:vAlign w:val="center"/>
          </w:tcPr>
          <w:p w14:paraId="2EBF357B" w14:textId="77777777" w:rsidR="00F40789" w:rsidRDefault="000A3EA7">
            <w:pPr>
              <w:spacing w:after="0" w:line="240" w:lineRule="auto"/>
              <w:rPr>
                <w:rFonts w:ascii="Calibri" w:eastAsia="Times New Roman" w:hAnsi="Calibri" w:cs="Times New Roman"/>
                <w:lang w:eastAsia="sk-SK"/>
              </w:rPr>
            </w:pPr>
            <w:r>
              <w:rPr>
                <w:rFonts w:ascii="Calibri" w:eastAsia="Times New Roman" w:hAnsi="Calibri" w:cs="Times New Roman"/>
                <w:lang w:eastAsia="sk-SK"/>
              </w:rPr>
              <w:t xml:space="preserve">OCA19. </w:t>
            </w:r>
            <w:r>
              <w:rPr>
                <w:rFonts w:ascii="Calibri" w:eastAsia="Times New Roman" w:hAnsi="Calibri" w:cs="Times New Roman"/>
                <w:b/>
                <w:lang w:eastAsia="sk-SK"/>
              </w:rPr>
              <w:t>Charakteristika dopadu výstupu a súvisiacich aktivít na vzdelávací proces</w:t>
            </w:r>
            <w:r>
              <w:rPr>
                <w:rFonts w:ascii="Calibri" w:eastAsia="Times New Roman" w:hAnsi="Calibri" w:cs="Times New Roman"/>
                <w:lang w:eastAsia="sk-SK"/>
              </w:rPr>
              <w:t xml:space="preserve"> / Characteristics of the output and related activities' impact on the educational process</w:t>
            </w:r>
            <w:r>
              <w:rPr>
                <w:rFonts w:ascii="Calibri" w:eastAsia="Times New Roman" w:hAnsi="Calibri" w:cs="Times New Roman"/>
                <w:lang w:eastAsia="sk-SK"/>
              </w:rPr>
              <w:br/>
            </w:r>
            <w:r>
              <w:rPr>
                <w:rFonts w:ascii="Calibri" w:eastAsia="Times New Roman" w:hAnsi="Calibri" w:cs="Times New Roman"/>
                <w:i/>
                <w:iCs/>
                <w:lang w:eastAsia="sk-SK"/>
              </w:rPr>
              <w:t>Rozsah do 200 slov v slovenskom jazyku / Range up to 200 words in Slovak</w:t>
            </w:r>
            <w:r>
              <w:rPr>
                <w:rFonts w:ascii="Calibri" w:eastAsia="Times New Roman" w:hAnsi="Calibri" w:cs="Times New Roman"/>
                <w:i/>
                <w:iCs/>
                <w:lang w:eastAsia="sk-SK"/>
              </w:rPr>
              <w:br/>
              <w:t>Rozsah do 200 slov v anglickom jazyku / Range up to 200 words in English</w:t>
            </w:r>
          </w:p>
        </w:tc>
        <w:tc>
          <w:tcPr>
            <w:tcW w:w="0" w:type="auto"/>
            <w:shd w:val="clear" w:color="auto" w:fill="auto"/>
          </w:tcPr>
          <w:p w14:paraId="78738446" w14:textId="77777777" w:rsidR="00F40789" w:rsidRDefault="000A3EA7">
            <w:pPr>
              <w:spacing w:after="0"/>
              <w:jc w:val="both"/>
              <w:rPr>
                <w:rFonts w:ascii="Calibri" w:eastAsia="Times New Roman" w:hAnsi="Calibri" w:cs="Calibri"/>
                <w:lang w:eastAsia="sk-SK"/>
              </w:rPr>
            </w:pPr>
            <w:r>
              <w:rPr>
                <w:rFonts w:ascii="Calibri" w:eastAsia="Times New Roman" w:hAnsi="Calibri" w:cs="Calibri"/>
                <w:lang w:eastAsia="sk-SK"/>
              </w:rPr>
              <w:t>Vedeck</w:t>
            </w:r>
            <w:r>
              <w:rPr>
                <w:rFonts w:ascii="Calibri" w:eastAsia="Times New Roman" w:hAnsi="Calibri" w:cs="Calibri"/>
                <w:lang w:val="en-US" w:eastAsia="sk-SK"/>
              </w:rPr>
              <w:t xml:space="preserve">á monografia sa zaoberá otázkami plnenia povinností Slovenskej republiky týkajúcich sa vykonávania spoločnej azylovej politiky, ktorá sleduje </w:t>
            </w:r>
            <w:r>
              <w:rPr>
                <w:rStyle w:val="Vrazn"/>
                <w:b w:val="0"/>
                <w:bCs w:val="0"/>
              </w:rPr>
              <w:t xml:space="preserve">presadzovanie spravodlivého a humánneho riešenia vo vzťahu k osobám hľadajúcim medzinárodnú ochranu v iných štátoch ako je krajina ich pôvodu. Poskytuje komplexné informácie študentom práva ohľadne výkonu verejnej správy na úseku azylu v kontexte platnej právnej úpravy a rozhodnutí medzinárodných súdov, ktoré sú kľúčové pre interpretáciu vnútroštátnej úpravy. </w:t>
            </w:r>
            <w:r>
              <w:rPr>
                <w:rFonts w:ascii="Calibri" w:eastAsia="Times New Roman" w:hAnsi="Calibri" w:cs="Calibri"/>
                <w:lang w:eastAsia="sk-SK"/>
              </w:rPr>
              <w:t xml:space="preserve">Výstup je v rámci vzdelávacieho procesu využiteľný pri hlbšom skúmaní problematiky </w:t>
            </w:r>
            <w:r>
              <w:rPr>
                <w:rFonts w:ascii="Calibri" w:eastAsia="Times New Roman" w:hAnsi="Calibri" w:cs="Calibri"/>
                <w:lang w:val="en-US" w:eastAsia="sk-SK"/>
              </w:rPr>
              <w:t>azylového práva</w:t>
            </w:r>
            <w:r>
              <w:rPr>
                <w:rFonts w:ascii="Calibri" w:eastAsia="Times New Roman" w:hAnsi="Calibri" w:cs="Calibri"/>
                <w:lang w:eastAsia="sk-SK"/>
              </w:rPr>
              <w:t>, najmä pri písaní záverečných prác v prvom a druhom stupni štúdia, ale aj pri výskume v treťom stupni štúdia.   </w:t>
            </w:r>
          </w:p>
          <w:p w14:paraId="02A67469" w14:textId="77777777" w:rsidR="00F40789" w:rsidRDefault="00F40789">
            <w:pPr>
              <w:spacing w:after="0"/>
              <w:jc w:val="both"/>
              <w:rPr>
                <w:rFonts w:ascii="Calibri" w:eastAsia="Times New Roman" w:hAnsi="Calibri" w:cs="Times New Roman"/>
                <w:lang w:eastAsia="sk-SK"/>
              </w:rPr>
            </w:pPr>
          </w:p>
          <w:p w14:paraId="46CC80BD" w14:textId="77777777" w:rsidR="00F40789" w:rsidRDefault="000A3EA7">
            <w:pPr>
              <w:spacing w:after="0"/>
              <w:jc w:val="both"/>
              <w:rPr>
                <w:rFonts w:ascii="Calibri" w:eastAsia="Times New Roman" w:hAnsi="Calibri" w:cs="Times New Roman"/>
                <w:lang w:eastAsia="sk-SK"/>
              </w:rPr>
            </w:pPr>
            <w:r>
              <w:rPr>
                <w:rFonts w:ascii="Calibri" w:eastAsia="SimSun" w:hAnsi="Calibri" w:cs="Calibri"/>
                <w:i/>
                <w:iCs/>
                <w:lang w:val="en-US"/>
              </w:rPr>
              <w:t>The scientific monograph deals with the issues of fulfilling the obligations of the Slovak Republic related to the implementation of the common asylum policy, which monitors the promotion of a fair and humane solution in relation to persons seeking international protection in countries other than their country of origin.</w:t>
            </w:r>
            <w:r>
              <w:rPr>
                <w:rFonts w:ascii="Calibri" w:eastAsia="SimSun" w:hAnsi="Calibri" w:cs="Calibri"/>
                <w:i/>
                <w:iCs/>
              </w:rPr>
              <w:t xml:space="preserve"> </w:t>
            </w:r>
            <w:r>
              <w:rPr>
                <w:rFonts w:ascii="Calibri" w:eastAsia="SimSun" w:hAnsi="Calibri" w:cs="Calibri"/>
                <w:i/>
                <w:iCs/>
                <w:lang w:val="en-US"/>
              </w:rPr>
              <w:t>It provides comprehensive information to law students regarding the performance of public administration in the area of asylum in the context of valid legislation and decisions of international courts, which are key to the interpretation of national legislation. As part of the educational process, the output can be used for a deeper investigation of the issue of asylum law, especially when writing final theses in the first and second degree, but also in research in the third degree.</w:t>
            </w:r>
          </w:p>
        </w:tc>
      </w:tr>
    </w:tbl>
    <w:p w14:paraId="26C1B245" w14:textId="77777777" w:rsidR="00F40789" w:rsidRDefault="00F40789"/>
    <w:sectPr w:rsidR="00F40789">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089E" w14:textId="77777777" w:rsidR="000A3EA7" w:rsidRDefault="000A3EA7">
      <w:pPr>
        <w:spacing w:line="240" w:lineRule="auto"/>
      </w:pPr>
      <w:r>
        <w:separator/>
      </w:r>
    </w:p>
  </w:endnote>
  <w:endnote w:type="continuationSeparator" w:id="0">
    <w:p w14:paraId="0646614E" w14:textId="77777777" w:rsidR="000A3EA7" w:rsidRDefault="000A3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94C" w14:textId="77777777" w:rsidR="00F40789" w:rsidRDefault="00F4078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88FB" w14:textId="77777777" w:rsidR="00F40789" w:rsidRDefault="000A3EA7">
    <w:pPr>
      <w:pStyle w:val="Pta"/>
    </w:pPr>
    <w:r>
      <w:t>T_Z_VTCAj_1/ 2020</w:t>
    </w:r>
  </w:p>
  <w:p w14:paraId="760DE40A" w14:textId="77777777" w:rsidR="00F40789" w:rsidRDefault="00F4078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9436" w14:textId="77777777" w:rsidR="00F40789" w:rsidRDefault="00F407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A891" w14:textId="77777777" w:rsidR="000A3EA7" w:rsidRDefault="000A3EA7">
      <w:pPr>
        <w:spacing w:after="0"/>
      </w:pPr>
      <w:r>
        <w:separator/>
      </w:r>
    </w:p>
  </w:footnote>
  <w:footnote w:type="continuationSeparator" w:id="0">
    <w:p w14:paraId="5B92B16B" w14:textId="77777777" w:rsidR="000A3EA7" w:rsidRDefault="000A3EA7">
      <w:pPr>
        <w:spacing w:after="0"/>
      </w:pPr>
      <w:r>
        <w:continuationSeparator/>
      </w:r>
    </w:p>
  </w:footnote>
  <w:footnote w:id="1">
    <w:p w14:paraId="25AD418C"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Doplní agentúra / To be completed by the Agency.</w:t>
      </w:r>
    </w:p>
  </w:footnote>
  <w:footnote w:id="2">
    <w:p w14:paraId="02B84C03"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7348D2BF"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4BC9EA6A"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1C32CD2F"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63F65465"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7C109C1A"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441837D"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005E1793" w14:textId="77777777" w:rsidR="00F40789" w:rsidRDefault="000A3EA7">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4AD5" w14:textId="77777777" w:rsidR="00F40789" w:rsidRDefault="00F4078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E317" w14:textId="77777777" w:rsidR="00F40789" w:rsidRDefault="000A3EA7">
    <w:pPr>
      <w:pStyle w:val="Hlavika"/>
      <w:jc w:val="center"/>
    </w:pPr>
    <w:r>
      <w:rPr>
        <w:noProof/>
        <w:lang w:eastAsia="sk-SK"/>
      </w:rPr>
      <w:drawing>
        <wp:anchor distT="0" distB="0" distL="114300" distR="114300" simplePos="0" relativeHeight="251659264" behindDoc="1" locked="0" layoutInCell="1" allowOverlap="1" wp14:anchorId="613DC370" wp14:editId="197F787B">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500" cy="570230"/>
                  </a:xfrm>
                  <a:prstGeom prst="rect">
                    <a:avLst/>
                  </a:prstGeom>
                  <a:noFill/>
                  <a:ln>
                    <a:noFill/>
                  </a:ln>
                </pic:spPr>
              </pic:pic>
            </a:graphicData>
          </a:graphic>
        </wp:anchor>
      </w:drawing>
    </w:r>
    <w:r>
      <w:t>Trnavská univerzita v Trnave, Právnická fakulta</w:t>
    </w:r>
  </w:p>
  <w:p w14:paraId="1EE191BF" w14:textId="77777777" w:rsidR="00F40789" w:rsidRDefault="00F4078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CD56" w14:textId="77777777" w:rsidR="00F40789" w:rsidRDefault="00F4078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7382B"/>
    <w:rsid w:val="0008088C"/>
    <w:rsid w:val="00084CB6"/>
    <w:rsid w:val="00087B3E"/>
    <w:rsid w:val="000A3EA7"/>
    <w:rsid w:val="000D1F22"/>
    <w:rsid w:val="000E773A"/>
    <w:rsid w:val="000F32F0"/>
    <w:rsid w:val="00102D82"/>
    <w:rsid w:val="00112F47"/>
    <w:rsid w:val="00164643"/>
    <w:rsid w:val="001A42DD"/>
    <w:rsid w:val="001D03F4"/>
    <w:rsid w:val="001F26CD"/>
    <w:rsid w:val="00222794"/>
    <w:rsid w:val="00242C6E"/>
    <w:rsid w:val="00270829"/>
    <w:rsid w:val="002E6FE9"/>
    <w:rsid w:val="00317E93"/>
    <w:rsid w:val="003345F2"/>
    <w:rsid w:val="00387CE6"/>
    <w:rsid w:val="003E03CB"/>
    <w:rsid w:val="004173E3"/>
    <w:rsid w:val="0042152F"/>
    <w:rsid w:val="00422600"/>
    <w:rsid w:val="004358A8"/>
    <w:rsid w:val="004656F6"/>
    <w:rsid w:val="004776A7"/>
    <w:rsid w:val="004D5CBD"/>
    <w:rsid w:val="004E4845"/>
    <w:rsid w:val="004F0879"/>
    <w:rsid w:val="004F5815"/>
    <w:rsid w:val="00502F15"/>
    <w:rsid w:val="00532FE9"/>
    <w:rsid w:val="005517AF"/>
    <w:rsid w:val="00572798"/>
    <w:rsid w:val="005D6234"/>
    <w:rsid w:val="00675F63"/>
    <w:rsid w:val="006849EB"/>
    <w:rsid w:val="0073087F"/>
    <w:rsid w:val="007353ED"/>
    <w:rsid w:val="0074791C"/>
    <w:rsid w:val="007846F8"/>
    <w:rsid w:val="007D43B7"/>
    <w:rsid w:val="00811C62"/>
    <w:rsid w:val="00816E73"/>
    <w:rsid w:val="008471D2"/>
    <w:rsid w:val="00852CC7"/>
    <w:rsid w:val="00881702"/>
    <w:rsid w:val="00884925"/>
    <w:rsid w:val="008953CD"/>
    <w:rsid w:val="008B78D7"/>
    <w:rsid w:val="008E2108"/>
    <w:rsid w:val="008E4E58"/>
    <w:rsid w:val="00935AD0"/>
    <w:rsid w:val="00950EFB"/>
    <w:rsid w:val="009547F9"/>
    <w:rsid w:val="00974311"/>
    <w:rsid w:val="00975300"/>
    <w:rsid w:val="00980601"/>
    <w:rsid w:val="009A5365"/>
    <w:rsid w:val="00A10B6E"/>
    <w:rsid w:val="00A23768"/>
    <w:rsid w:val="00A44E1E"/>
    <w:rsid w:val="00A44F05"/>
    <w:rsid w:val="00A95EE7"/>
    <w:rsid w:val="00AF5EF9"/>
    <w:rsid w:val="00B15040"/>
    <w:rsid w:val="00B34A5D"/>
    <w:rsid w:val="00BA1526"/>
    <w:rsid w:val="00BF314A"/>
    <w:rsid w:val="00C1470C"/>
    <w:rsid w:val="00C16FE2"/>
    <w:rsid w:val="00C40D4D"/>
    <w:rsid w:val="00C86832"/>
    <w:rsid w:val="00D64B7C"/>
    <w:rsid w:val="00D733AB"/>
    <w:rsid w:val="00D81D79"/>
    <w:rsid w:val="00DA3A7D"/>
    <w:rsid w:val="00DC4C52"/>
    <w:rsid w:val="00DD0483"/>
    <w:rsid w:val="00DF77E6"/>
    <w:rsid w:val="00E8454F"/>
    <w:rsid w:val="00EC403D"/>
    <w:rsid w:val="00EC4DA2"/>
    <w:rsid w:val="00F165AB"/>
    <w:rsid w:val="00F40789"/>
    <w:rsid w:val="00F53518"/>
    <w:rsid w:val="00FE27EC"/>
    <w:rsid w:val="00FF6B5A"/>
    <w:rsid w:val="0D362257"/>
    <w:rsid w:val="169C2E4C"/>
    <w:rsid w:val="18F86553"/>
    <w:rsid w:val="1B41258E"/>
    <w:rsid w:val="28B561FC"/>
    <w:rsid w:val="57E123CF"/>
    <w:rsid w:val="58D37F01"/>
    <w:rsid w:val="603F2D35"/>
    <w:rsid w:val="6279342D"/>
    <w:rsid w:val="67FA6464"/>
    <w:rsid w:val="68A15B34"/>
    <w:rsid w:val="69B772AC"/>
    <w:rsid w:val="6AB62785"/>
    <w:rsid w:val="6F62282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8A62"/>
  <w15:docId w15:val="{06CD7AE3-AA3B-4A3A-9BA6-2D4CAB9C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eastAsia="en-US"/>
    </w:rPr>
  </w:style>
  <w:style w:type="paragraph" w:styleId="Nadpis3">
    <w:name w:val="heading 3"/>
    <w:basedOn w:val="Normlny"/>
    <w:link w:val="Nadpis3Char"/>
    <w:uiPriority w:val="9"/>
    <w:qFormat/>
    <w:rsid w:val="008953CD"/>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paragraph" w:styleId="Pta">
    <w:name w:val="footer"/>
    <w:basedOn w:val="Normlny"/>
    <w:link w:val="PtaChar"/>
    <w:uiPriority w:val="99"/>
    <w:unhideWhenUsed/>
    <w:pPr>
      <w:tabs>
        <w:tab w:val="center" w:pos="4536"/>
        <w:tab w:val="right" w:pos="9072"/>
      </w:tabs>
      <w:spacing w:after="0" w:line="240" w:lineRule="auto"/>
    </w:pPr>
  </w:style>
  <w:style w:type="character" w:styleId="Odkaznapoznmkupodiarou">
    <w:name w:val="footnote reference"/>
    <w:basedOn w:val="Predvolenpsmoodseku"/>
    <w:uiPriority w:val="99"/>
    <w:semiHidden/>
    <w:unhideWhenUsed/>
    <w:rPr>
      <w:vertAlign w:val="superscript"/>
    </w:r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unhideWhenUsed/>
    <w:rPr>
      <w:color w:val="0563C1"/>
      <w:u w:val="single"/>
    </w:rPr>
  </w:style>
  <w:style w:type="paragraph" w:styleId="Normlnywebov">
    <w:name w:val="Normal (Web)"/>
    <w:basedOn w:val="Normlny"/>
    <w:uiPriority w:val="99"/>
    <w:semiHidden/>
    <w:unhideWhenUsed/>
    <w:rPr>
      <w:rFonts w:ascii="Times New Roman" w:hAnsi="Times New Roman" w:cs="Times New Roman"/>
      <w:sz w:val="24"/>
      <w:szCs w:val="24"/>
    </w:rPr>
  </w:style>
  <w:style w:type="character" w:styleId="Vrazn">
    <w:name w:val="Strong"/>
    <w:basedOn w:val="Predvolenpsmoodseku"/>
    <w:uiPriority w:val="22"/>
    <w:qFormat/>
    <w:rPr>
      <w:b/>
      <w:bCs/>
    </w:r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style>
  <w:style w:type="character" w:customStyle="1" w:styleId="TextpoznmkypodiarouChar">
    <w:name w:val="Text poznámky pod čiarou Char"/>
    <w:basedOn w:val="Predvolenpsmoodseku"/>
    <w:link w:val="Textpoznmkypodiarou"/>
    <w:uiPriority w:val="99"/>
    <w:semiHidden/>
    <w:rPr>
      <w:sz w:val="20"/>
      <w:szCs w:val="20"/>
    </w:rPr>
  </w:style>
  <w:style w:type="character" w:customStyle="1" w:styleId="normaltextrun">
    <w:name w:val="normaltextrun"/>
    <w:basedOn w:val="Predvolenpsmoodseku"/>
  </w:style>
  <w:style w:type="character" w:customStyle="1" w:styleId="spellingerror">
    <w:name w:val="spellingerror"/>
    <w:basedOn w:val="Predvolenpsmoodseku"/>
  </w:style>
  <w:style w:type="character" w:customStyle="1" w:styleId="eop">
    <w:name w:val="eop"/>
    <w:basedOn w:val="Predvolenpsmoodseku"/>
  </w:style>
  <w:style w:type="character" w:customStyle="1" w:styleId="apple-converted-space">
    <w:name w:val="apple-converted-space"/>
    <w:basedOn w:val="Predvolenpsmoodseku"/>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paragraph" w:customStyle="1" w:styleId="NormalWeb1">
    <w:name w:val="Normal (Web)1"/>
    <w:basedOn w:val="Normlny"/>
    <w:uiPriority w:val="7"/>
    <w:pPr>
      <w:spacing w:before="280" w:after="280" w:line="240" w:lineRule="auto"/>
    </w:pPr>
    <w:rPr>
      <w:rFonts w:ascii="Times New Roman" w:eastAsia="Times New Roman" w:hAnsi="Times New Roman" w:cs="Times New Roman"/>
      <w:sz w:val="24"/>
      <w:szCs w:val="24"/>
      <w:lang w:val="en-US"/>
    </w:rPr>
  </w:style>
  <w:style w:type="character" w:styleId="PouitHypertextovPrepojenie">
    <w:name w:val="FollowedHyperlink"/>
    <w:basedOn w:val="Predvolenpsmoodseku"/>
    <w:uiPriority w:val="99"/>
    <w:semiHidden/>
    <w:unhideWhenUsed/>
    <w:rsid w:val="008953CD"/>
    <w:rPr>
      <w:color w:val="954F72" w:themeColor="followedHyperlink"/>
      <w:u w:val="single"/>
    </w:rPr>
  </w:style>
  <w:style w:type="character" w:customStyle="1" w:styleId="Nadpis3Char">
    <w:name w:val="Nadpis 3 Char"/>
    <w:basedOn w:val="Predvolenpsmoodseku"/>
    <w:link w:val="Nadpis3"/>
    <w:uiPriority w:val="9"/>
    <w:rsid w:val="008953CD"/>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https://ec.europa.eu/info/strategy/priorities-2019-2024/promoting-our-european-way-life/new-pact-migration-and-asylum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0CB211958038C74915A2707AE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E18AD2-46A3-466A-88E3-51D78B807D97}">
  <ds:schemaRefs>
    <ds:schemaRef ds:uri="http://schemas.openxmlformats.org/officeDocument/2006/bibliography"/>
  </ds:schemaRefs>
</ds:datastoreItem>
</file>

<file path=customXml/itemProps2.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3.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2070</Words>
  <Characters>11805</Characters>
  <Application>Microsoft Office Word</Application>
  <DocSecurity>0</DocSecurity>
  <Lines>98</Lines>
  <Paragraphs>27</Paragraphs>
  <ScaleCrop>false</ScaleCrop>
  <Company>Trnavska univerzita</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7</cp:revision>
  <dcterms:created xsi:type="dcterms:W3CDTF">2022-07-13T09:34:00Z</dcterms:created>
  <dcterms:modified xsi:type="dcterms:W3CDTF">2025-11-04T07:18:00Z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1033-11.2.0.10308</vt:lpwstr>
  </property>
  <property fmtid="{D5CDD505-2E9C-101B-9397-08002B2CF9AE}" pid="11" name="ICV">
    <vt:lpwstr>729554163D894C37A4BE237817CBE4F7</vt:lpwstr>
  </property>
</Properties>
</file>