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6" w:type="dxa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378"/>
        <w:gridCol w:w="6946"/>
      </w:tblGrid>
      <w:tr w:rsidR="00440E89" w:rsidRPr="00FF6B5A" w14:paraId="26AD607E" w14:textId="77777777" w:rsidTr="00440E89">
        <w:trPr>
          <w:trHeight w:val="450"/>
        </w:trPr>
        <w:tc>
          <w:tcPr>
            <w:tcW w:w="10746" w:type="dxa"/>
            <w:gridSpan w:val="3"/>
            <w:vMerge w:val="restart"/>
            <w:shd w:val="clear" w:color="auto" w:fill="2F5597"/>
            <w:vAlign w:val="center"/>
            <w:hideMark/>
          </w:tcPr>
          <w:p w14:paraId="00646618" w14:textId="77777777" w:rsidR="00440E89" w:rsidRPr="00FF6B5A" w:rsidRDefault="00440E89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440E89" w:rsidRPr="00FF6B5A" w14:paraId="4C6F46C7" w14:textId="77777777" w:rsidTr="00440E89">
        <w:trPr>
          <w:trHeight w:val="450"/>
        </w:trPr>
        <w:tc>
          <w:tcPr>
            <w:tcW w:w="10746" w:type="dxa"/>
            <w:gridSpan w:val="3"/>
            <w:vMerge/>
            <w:vAlign w:val="center"/>
            <w:hideMark/>
          </w:tcPr>
          <w:p w14:paraId="23F01556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440E89" w:rsidRPr="00FF6B5A" w14:paraId="1EE87C82" w14:textId="77777777" w:rsidTr="00440E89">
        <w:trPr>
          <w:trHeight w:val="450"/>
        </w:trPr>
        <w:tc>
          <w:tcPr>
            <w:tcW w:w="10746" w:type="dxa"/>
            <w:gridSpan w:val="3"/>
            <w:vMerge w:val="restart"/>
            <w:shd w:val="clear" w:color="auto" w:fill="auto"/>
            <w:vAlign w:val="bottom"/>
            <w:hideMark/>
          </w:tcPr>
          <w:p w14:paraId="34904D0B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440E89" w:rsidRPr="00FF6B5A" w14:paraId="511C21B7" w14:textId="77777777" w:rsidTr="00440E89">
        <w:trPr>
          <w:trHeight w:val="450"/>
        </w:trPr>
        <w:tc>
          <w:tcPr>
            <w:tcW w:w="10746" w:type="dxa"/>
            <w:gridSpan w:val="3"/>
            <w:vMerge/>
            <w:vAlign w:val="center"/>
            <w:hideMark/>
          </w:tcPr>
          <w:p w14:paraId="2CB5AF8B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440E89" w:rsidRPr="00FF6B5A" w14:paraId="6210436C" w14:textId="77777777" w:rsidTr="00440E89">
        <w:trPr>
          <w:trHeight w:val="345"/>
        </w:trPr>
        <w:tc>
          <w:tcPr>
            <w:tcW w:w="422" w:type="dxa"/>
            <w:shd w:val="clear" w:color="auto" w:fill="auto"/>
            <w:vAlign w:val="center"/>
            <w:hideMark/>
          </w:tcPr>
          <w:p w14:paraId="5CDA6FCD" w14:textId="77777777" w:rsidR="00440E89" w:rsidRPr="00FF6B5A" w:rsidRDefault="00440E89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378" w:type="dxa"/>
            <w:shd w:val="clear" w:color="auto" w:fill="D9E1F2"/>
            <w:vAlign w:val="center"/>
            <w:hideMark/>
          </w:tcPr>
          <w:p w14:paraId="42FFED08" w14:textId="77777777" w:rsidR="00440E89" w:rsidRPr="00FF6B5A" w:rsidRDefault="006C5346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40E8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6946" w:type="dxa"/>
            <w:shd w:val="clear" w:color="auto" w:fill="auto"/>
            <w:hideMark/>
          </w:tcPr>
          <w:p w14:paraId="6F351269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40E89" w:rsidRPr="00FF6B5A" w14:paraId="7C00400B" w14:textId="77777777" w:rsidTr="00440E89">
        <w:trPr>
          <w:trHeight w:val="345"/>
        </w:trPr>
        <w:tc>
          <w:tcPr>
            <w:tcW w:w="422" w:type="dxa"/>
            <w:shd w:val="clear" w:color="auto" w:fill="auto"/>
            <w:vAlign w:val="center"/>
            <w:hideMark/>
          </w:tcPr>
          <w:p w14:paraId="45385C04" w14:textId="77777777" w:rsidR="00440E89" w:rsidRPr="00FF6B5A" w:rsidRDefault="00440E89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3378" w:type="dxa"/>
            <w:shd w:val="clear" w:color="auto" w:fill="D9E1F2"/>
            <w:vAlign w:val="center"/>
            <w:hideMark/>
          </w:tcPr>
          <w:p w14:paraId="1E2EEB6F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6946" w:type="dxa"/>
            <w:shd w:val="clear" w:color="auto" w:fill="auto"/>
            <w:hideMark/>
          </w:tcPr>
          <w:p w14:paraId="090ABCF9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40E89" w:rsidRPr="00FF6B5A" w14:paraId="55A0B353" w14:textId="77777777" w:rsidTr="00440E89">
        <w:trPr>
          <w:trHeight w:val="510"/>
        </w:trPr>
        <w:tc>
          <w:tcPr>
            <w:tcW w:w="3800" w:type="dxa"/>
            <w:gridSpan w:val="2"/>
            <w:shd w:val="clear" w:color="auto" w:fill="D9E1F2"/>
            <w:vAlign w:val="center"/>
            <w:hideMark/>
          </w:tcPr>
          <w:p w14:paraId="44F2CF34" w14:textId="77777777" w:rsidR="00440E89" w:rsidRPr="00FF6B5A" w:rsidRDefault="006C5346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40E8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6946" w:type="dxa"/>
            <w:shd w:val="clear" w:color="auto" w:fill="auto"/>
            <w:hideMark/>
          </w:tcPr>
          <w:p w14:paraId="3203C4C6" w14:textId="3AA30174" w:rsidR="00440E89" w:rsidRPr="00FF6B5A" w:rsidRDefault="00440E89" w:rsidP="001435E6">
            <w:pPr>
              <w:tabs>
                <w:tab w:val="left" w:pos="7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Gábriš</w:t>
            </w:r>
          </w:p>
        </w:tc>
      </w:tr>
      <w:tr w:rsidR="00440E89" w:rsidRPr="00FF6B5A" w14:paraId="0C61E1CD" w14:textId="77777777" w:rsidTr="00440E89">
        <w:trPr>
          <w:trHeight w:val="315"/>
        </w:trPr>
        <w:tc>
          <w:tcPr>
            <w:tcW w:w="3800" w:type="dxa"/>
            <w:gridSpan w:val="2"/>
            <w:shd w:val="clear" w:color="auto" w:fill="D9E1F2"/>
            <w:vAlign w:val="center"/>
            <w:hideMark/>
          </w:tcPr>
          <w:p w14:paraId="218046F4" w14:textId="77777777" w:rsidR="00440E89" w:rsidRPr="00FF6B5A" w:rsidRDefault="006C5346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440E89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6946" w:type="dxa"/>
            <w:shd w:val="clear" w:color="auto" w:fill="auto"/>
            <w:hideMark/>
          </w:tcPr>
          <w:p w14:paraId="512ED302" w14:textId="77793850" w:rsidR="00440E89" w:rsidRPr="00FF6B5A" w:rsidRDefault="00440E89" w:rsidP="001435E6">
            <w:pPr>
              <w:tabs>
                <w:tab w:val="left" w:pos="107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Tomáš</w:t>
            </w:r>
          </w:p>
        </w:tc>
      </w:tr>
      <w:tr w:rsidR="00440E89" w:rsidRPr="00FF6B5A" w14:paraId="26259EB5" w14:textId="77777777" w:rsidTr="00440E89">
        <w:trPr>
          <w:trHeight w:val="510"/>
        </w:trPr>
        <w:tc>
          <w:tcPr>
            <w:tcW w:w="3800" w:type="dxa"/>
            <w:gridSpan w:val="2"/>
            <w:shd w:val="clear" w:color="auto" w:fill="D9E1F2"/>
            <w:vAlign w:val="center"/>
            <w:hideMark/>
          </w:tcPr>
          <w:p w14:paraId="45D5AF33" w14:textId="77777777" w:rsidR="00440E89" w:rsidRPr="00FF6B5A" w:rsidRDefault="006C5346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440E89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6946" w:type="dxa"/>
            <w:shd w:val="clear" w:color="auto" w:fill="auto"/>
            <w:hideMark/>
          </w:tcPr>
          <w:p w14:paraId="31AF1E2E" w14:textId="1D537D93" w:rsidR="00440E89" w:rsidRPr="00FF6B5A" w:rsidRDefault="00440E89" w:rsidP="009918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prof. JUDr. PhDr. Mgr., PhD., LLM, MA</w:t>
            </w:r>
          </w:p>
        </w:tc>
      </w:tr>
      <w:tr w:rsidR="00440E89" w:rsidRPr="00FF6B5A" w14:paraId="7562C207" w14:textId="77777777" w:rsidTr="00440E89">
        <w:trPr>
          <w:trHeight w:val="660"/>
        </w:trPr>
        <w:tc>
          <w:tcPr>
            <w:tcW w:w="3800" w:type="dxa"/>
            <w:gridSpan w:val="2"/>
            <w:shd w:val="clear" w:color="auto" w:fill="D9E1F2"/>
            <w:vAlign w:val="center"/>
            <w:hideMark/>
          </w:tcPr>
          <w:p w14:paraId="009D951D" w14:textId="77777777" w:rsidR="00440E89" w:rsidRPr="00FF6B5A" w:rsidRDefault="006C5346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40E8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6946" w:type="dxa"/>
            <w:shd w:val="clear" w:color="auto" w:fill="auto"/>
            <w:hideMark/>
          </w:tcPr>
          <w:p w14:paraId="144B5230" w14:textId="3791B538" w:rsidR="00440E89" w:rsidRDefault="00440E89" w:rsidP="00A54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hyperlink r:id="rId15" w:history="1">
              <w:r w:rsidRPr="009C207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https://www.portalvs.sk/regzam/detail/3821?do=filterForm-submit&amp;name=Tom%C3%A1%C5%A1&amp;surname=G%C3%A1bri%C5%A1&amp;employment_state=yes&amp;filter=Vyh%C4%BEada%C5%A5</w:t>
              </w:r>
            </w:hyperlink>
          </w:p>
          <w:p w14:paraId="386E2A8A" w14:textId="66CCE6C2" w:rsidR="00440E89" w:rsidRPr="00FF6B5A" w:rsidRDefault="00440E89" w:rsidP="00A54B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440E89" w:rsidRPr="00FF6B5A" w14:paraId="71278DC8" w14:textId="77777777" w:rsidTr="00440E89">
        <w:trPr>
          <w:trHeight w:val="300"/>
        </w:trPr>
        <w:tc>
          <w:tcPr>
            <w:tcW w:w="3800" w:type="dxa"/>
            <w:gridSpan w:val="2"/>
            <w:shd w:val="clear" w:color="auto" w:fill="D9E1F2"/>
            <w:vAlign w:val="center"/>
            <w:hideMark/>
          </w:tcPr>
          <w:p w14:paraId="55D8EA41" w14:textId="77777777" w:rsidR="00440E89" w:rsidRPr="00FF6B5A" w:rsidRDefault="006C5346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40E8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6946" w:type="dxa"/>
            <w:shd w:val="clear" w:color="auto" w:fill="auto"/>
            <w:hideMark/>
          </w:tcPr>
          <w:p w14:paraId="7D9FA91C" w14:textId="36730D87" w:rsidR="00A52F76" w:rsidRPr="00FF6B5A" w:rsidRDefault="006C5346" w:rsidP="006C534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Študijný program „Právo“ - 1. a 2. stupeň/ študijný program Teória a dejiny štátu a práva - 3. stupeň / </w:t>
            </w:r>
            <w:r w:rsidRPr="006C5346">
              <w:rPr>
                <w:rFonts w:ascii="Calibri" w:eastAsia="Times New Roman" w:hAnsi="Calibri" w:cs="Times New Roman"/>
                <w:color w:val="000000"/>
                <w:lang w:val="en" w:eastAsia="sk-SK"/>
              </w:rPr>
              <w:t>Study program "Law" - 1st and 2nd degree and  3</w:t>
            </w:r>
            <w:proofErr w:type="spellStart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rd</w:t>
            </w:r>
            <w:proofErr w:type="spellEnd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degree</w:t>
            </w:r>
            <w:proofErr w:type="spellEnd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study program - "</w:t>
            </w:r>
            <w:proofErr w:type="spellStart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"/ HIK Teória a dejiny štátu a práva/ HIK "</w:t>
            </w:r>
            <w:proofErr w:type="spellStart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6C5346">
              <w:rPr>
                <w:rFonts w:ascii="Calibri" w:eastAsia="Times New Roman" w:hAnsi="Calibri" w:cs="Times New Roman"/>
                <w:color w:val="000000"/>
                <w:lang w:eastAsia="sk-SK"/>
              </w:rPr>
              <w:t>"</w:t>
            </w:r>
          </w:p>
        </w:tc>
      </w:tr>
      <w:tr w:rsidR="00440E89" w:rsidRPr="00FF6B5A" w14:paraId="2CB58EF0" w14:textId="77777777" w:rsidTr="00440E89">
        <w:trPr>
          <w:trHeight w:val="300"/>
        </w:trPr>
        <w:tc>
          <w:tcPr>
            <w:tcW w:w="3800" w:type="dxa"/>
            <w:gridSpan w:val="2"/>
            <w:shd w:val="clear" w:color="auto" w:fill="auto"/>
            <w:vAlign w:val="center"/>
          </w:tcPr>
          <w:p w14:paraId="161A3531" w14:textId="212BD2BE" w:rsidR="00440E89" w:rsidRDefault="00440E89" w:rsidP="54DA4DB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4DA4DB7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6946" w:type="dxa"/>
            <w:shd w:val="clear" w:color="auto" w:fill="auto"/>
          </w:tcPr>
          <w:p w14:paraId="06776049" w14:textId="7704260A" w:rsidR="00440E89" w:rsidRPr="00FF6B5A" w:rsidRDefault="007245C1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A+</w:t>
            </w:r>
          </w:p>
        </w:tc>
      </w:tr>
      <w:tr w:rsidR="00440E89" w:rsidRPr="00FF6B5A" w14:paraId="4EFA946B" w14:textId="77777777" w:rsidTr="00440E89">
        <w:trPr>
          <w:trHeight w:val="660"/>
        </w:trPr>
        <w:tc>
          <w:tcPr>
            <w:tcW w:w="3800" w:type="dxa"/>
            <w:gridSpan w:val="2"/>
            <w:shd w:val="clear" w:color="auto" w:fill="D9E1F2"/>
            <w:vAlign w:val="center"/>
            <w:hideMark/>
          </w:tcPr>
          <w:p w14:paraId="4D35D720" w14:textId="77777777" w:rsidR="00440E89" w:rsidRDefault="006C5346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440E89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440E89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440E89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258AC530" w14:textId="77777777" w:rsidR="00440E89" w:rsidRPr="00FF6B5A" w:rsidRDefault="00440E89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6946" w:type="dxa"/>
            <w:shd w:val="clear" w:color="auto" w:fill="auto"/>
            <w:hideMark/>
          </w:tcPr>
          <w:p w14:paraId="57BB7EC1" w14:textId="40F2E3BB" w:rsidR="00440E89" w:rsidRPr="00422600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t> </w:t>
            </w:r>
            <w:r w:rsidRPr="00422600">
              <w:rPr>
                <w:rFonts w:ascii="Calibri" w:eastAsia="Times New Roman" w:hAnsi="Calibri" w:cs="Times New Roman"/>
                <w:iCs/>
                <w:lang w:eastAsia="sk-SK"/>
              </w:rPr>
              <w:t>vedecký výstup</w:t>
            </w:r>
          </w:p>
        </w:tc>
      </w:tr>
      <w:tr w:rsidR="00440E89" w:rsidRPr="00FF6B5A" w14:paraId="2EB48D57" w14:textId="77777777" w:rsidTr="00440E89">
        <w:trPr>
          <w:trHeight w:val="510"/>
        </w:trPr>
        <w:tc>
          <w:tcPr>
            <w:tcW w:w="3800" w:type="dxa"/>
            <w:gridSpan w:val="2"/>
            <w:shd w:val="clear" w:color="auto" w:fill="DAE3F3"/>
            <w:vAlign w:val="center"/>
            <w:hideMark/>
          </w:tcPr>
          <w:p w14:paraId="2E005119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6946" w:type="dxa"/>
            <w:shd w:val="clear" w:color="auto" w:fill="auto"/>
            <w:hideMark/>
          </w:tcPr>
          <w:p w14:paraId="5D33FE6D" w14:textId="1EC475B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2022</w:t>
            </w:r>
          </w:p>
        </w:tc>
      </w:tr>
      <w:tr w:rsidR="00440E89" w:rsidRPr="00FF6B5A" w14:paraId="05549DEC" w14:textId="77777777" w:rsidTr="00440E89">
        <w:trPr>
          <w:trHeight w:val="660"/>
        </w:trPr>
        <w:tc>
          <w:tcPr>
            <w:tcW w:w="3800" w:type="dxa"/>
            <w:gridSpan w:val="2"/>
            <w:shd w:val="clear" w:color="auto" w:fill="D9E1F2"/>
            <w:vAlign w:val="center"/>
            <w:hideMark/>
          </w:tcPr>
          <w:p w14:paraId="748664EE" w14:textId="77777777" w:rsidR="00440E89" w:rsidRPr="00FF6B5A" w:rsidRDefault="006C5346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440E89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Central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440E8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6946" w:type="dxa"/>
            <w:shd w:val="clear" w:color="auto" w:fill="auto"/>
            <w:hideMark/>
          </w:tcPr>
          <w:p w14:paraId="5F52EA97" w14:textId="77777777" w:rsidR="00440E89" w:rsidRDefault="00440E89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ID: 1018147 </w:t>
            </w:r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t>V1_003 Autonómia športu medzi združovacou slobodou a verejnou správou [textový dokument (</w:t>
            </w:r>
            <w:proofErr w:type="spellStart"/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[monografia] / Gábriš, Tomáš </w:t>
            </w:r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(Autor) [TUTPRKPD] (100%) ; Greguš, Jozef (Recenzent) ; </w:t>
            </w:r>
            <w:proofErr w:type="spellStart"/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t>Horvat</w:t>
            </w:r>
            <w:proofErr w:type="spellEnd"/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Matej (Recenzent) ; </w:t>
            </w:r>
            <w:proofErr w:type="spellStart"/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t>Krošlák</w:t>
            </w:r>
            <w:proofErr w:type="spellEnd"/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Daniel (Recenzent) ; </w:t>
            </w:r>
            <w:proofErr w:type="spellStart"/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t>Poruban</w:t>
            </w:r>
            <w:proofErr w:type="spellEnd"/>
            <w:r w:rsidRPr="007836AB">
              <w:rPr>
                <w:rFonts w:ascii="Calibri" w:eastAsia="Times New Roman" w:hAnsi="Calibri" w:cs="Times New Roman"/>
                <w:color w:val="000000"/>
                <w:lang w:eastAsia="sk-SK"/>
              </w:rPr>
              <w:t>, Andrej (Recenzent) . – 1. vyd. – Praha (Česko) : Nakladatelství Leges, 2022. – 156 s. [tlačená forma] : text. – (Teoretik). – [slovenčina]. – [OV 070]. – [ŠO 6835]. – ISBN 978-80-7502-653-8. – TUTPRKPD signatúra E094934</w:t>
            </w:r>
          </w:p>
          <w:p w14:paraId="62DAF778" w14:textId="07C218C7" w:rsidR="00440E89" w:rsidRPr="00FF6B5A" w:rsidRDefault="00440E89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440E89" w:rsidRPr="00FF6B5A" w14:paraId="56F250BD" w14:textId="77777777" w:rsidTr="00440E89">
        <w:trPr>
          <w:trHeight w:val="525"/>
        </w:trPr>
        <w:tc>
          <w:tcPr>
            <w:tcW w:w="3800" w:type="dxa"/>
            <w:gridSpan w:val="2"/>
            <w:shd w:val="clear" w:color="auto" w:fill="D9E1F2"/>
            <w:vAlign w:val="center"/>
            <w:hideMark/>
          </w:tcPr>
          <w:p w14:paraId="6B2F5B58" w14:textId="77777777" w:rsidR="00440E89" w:rsidRPr="00FF6B5A" w:rsidRDefault="006C5346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440E8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6946" w:type="dxa"/>
            <w:shd w:val="clear" w:color="auto" w:fill="auto"/>
            <w:hideMark/>
          </w:tcPr>
          <w:p w14:paraId="40A542B3" w14:textId="63152C69" w:rsidR="00440E89" w:rsidRPr="00FF6B5A" w:rsidRDefault="00440E89" w:rsidP="00254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54F8C">
              <w:rPr>
                <w:rFonts w:ascii="Calibri" w:eastAsia="Times New Roman" w:hAnsi="Calibri" w:cs="Times New Roman"/>
                <w:color w:val="000000"/>
                <w:lang w:eastAsia="sk-SK"/>
              </w:rPr>
              <w:t>https://app.crepc.sk/?fn=detailBiblioFormChildQEDQH&amp;sid=572922C9A04F2A6820A2BEBB562C&amp;seo=CREP%C4%8C-detail-kni%C5%BEn%C3%A1-publik%C3%A1cia</w:t>
            </w:r>
          </w:p>
          <w:p w14:paraId="12D02A45" w14:textId="23BEED07" w:rsidR="00440E89" w:rsidRPr="00FF6B5A" w:rsidRDefault="00440E89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440E89" w:rsidRPr="00FF6B5A" w14:paraId="720FE156" w14:textId="77777777" w:rsidTr="00440E89">
        <w:trPr>
          <w:trHeight w:val="1065"/>
        </w:trPr>
        <w:tc>
          <w:tcPr>
            <w:tcW w:w="422" w:type="dxa"/>
            <w:vMerge w:val="restart"/>
            <w:shd w:val="clear" w:color="auto" w:fill="DAE3F3"/>
            <w:textDirection w:val="btLr"/>
            <w:vAlign w:val="center"/>
            <w:hideMark/>
          </w:tcPr>
          <w:p w14:paraId="7C6E7A9E" w14:textId="77777777" w:rsidR="00440E89" w:rsidRPr="00FF6B5A" w:rsidRDefault="00440E89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3378" w:type="dxa"/>
            <w:shd w:val="clear" w:color="auto" w:fill="D9E1F2"/>
            <w:vAlign w:val="center"/>
            <w:hideMark/>
          </w:tcPr>
          <w:p w14:paraId="3562ED52" w14:textId="77777777" w:rsidR="00440E89" w:rsidRPr="00FF6B5A" w:rsidRDefault="006C5346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40E8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6946" w:type="dxa"/>
            <w:shd w:val="clear" w:color="auto" w:fill="auto"/>
            <w:hideMark/>
          </w:tcPr>
          <w:p w14:paraId="2F372840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40E89" w:rsidRPr="00FF6B5A" w14:paraId="325FEA29" w14:textId="77777777" w:rsidTr="00440E89">
        <w:trPr>
          <w:trHeight w:val="1515"/>
        </w:trPr>
        <w:tc>
          <w:tcPr>
            <w:tcW w:w="422" w:type="dxa"/>
            <w:vMerge/>
            <w:vAlign w:val="center"/>
            <w:hideMark/>
          </w:tcPr>
          <w:p w14:paraId="6D3CFBAA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378" w:type="dxa"/>
            <w:shd w:val="clear" w:color="auto" w:fill="DAE3F3"/>
            <w:vAlign w:val="center"/>
            <w:hideMark/>
          </w:tcPr>
          <w:p w14:paraId="578FA0A4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6946" w:type="dxa"/>
            <w:shd w:val="clear" w:color="auto" w:fill="auto"/>
            <w:hideMark/>
          </w:tcPr>
          <w:p w14:paraId="3C12A565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440E89" w:rsidRPr="00FF6B5A" w14:paraId="3310F91F" w14:textId="77777777" w:rsidTr="00440E89">
        <w:trPr>
          <w:trHeight w:val="1290"/>
        </w:trPr>
        <w:tc>
          <w:tcPr>
            <w:tcW w:w="422" w:type="dxa"/>
            <w:vMerge/>
            <w:vAlign w:val="center"/>
            <w:hideMark/>
          </w:tcPr>
          <w:p w14:paraId="339AD794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378" w:type="dxa"/>
            <w:shd w:val="clear" w:color="auto" w:fill="D9E1F2"/>
            <w:vAlign w:val="center"/>
            <w:hideMark/>
          </w:tcPr>
          <w:p w14:paraId="564D0622" w14:textId="77777777" w:rsidR="00440E89" w:rsidRPr="00FF6B5A" w:rsidRDefault="006C5346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6946" w:type="dxa"/>
            <w:shd w:val="clear" w:color="auto" w:fill="auto"/>
            <w:hideMark/>
          </w:tcPr>
          <w:p w14:paraId="63F1171F" w14:textId="77777777" w:rsidR="00440E89" w:rsidRPr="00087B3E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440E89" w:rsidRPr="00FF6B5A" w14:paraId="7132EA15" w14:textId="77777777" w:rsidTr="00440E89">
        <w:trPr>
          <w:trHeight w:val="1110"/>
        </w:trPr>
        <w:tc>
          <w:tcPr>
            <w:tcW w:w="422" w:type="dxa"/>
            <w:vMerge/>
            <w:vAlign w:val="center"/>
            <w:hideMark/>
          </w:tcPr>
          <w:p w14:paraId="705A3C05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378" w:type="dxa"/>
            <w:shd w:val="clear" w:color="auto" w:fill="DAE3F3"/>
            <w:vAlign w:val="center"/>
            <w:hideMark/>
          </w:tcPr>
          <w:p w14:paraId="50BD820D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6946" w:type="dxa"/>
            <w:shd w:val="clear" w:color="auto" w:fill="auto"/>
            <w:hideMark/>
          </w:tcPr>
          <w:p w14:paraId="11331ED7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40E89" w:rsidRPr="00FF6B5A" w14:paraId="41832E8E" w14:textId="77777777" w:rsidTr="00440E89">
        <w:trPr>
          <w:trHeight w:val="765"/>
        </w:trPr>
        <w:tc>
          <w:tcPr>
            <w:tcW w:w="422" w:type="dxa"/>
            <w:vMerge/>
            <w:vAlign w:val="center"/>
            <w:hideMark/>
          </w:tcPr>
          <w:p w14:paraId="5E925E2F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378" w:type="dxa"/>
            <w:shd w:val="clear" w:color="auto" w:fill="DAE3F3"/>
            <w:vAlign w:val="center"/>
            <w:hideMark/>
          </w:tcPr>
          <w:p w14:paraId="30340DB0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6946" w:type="dxa"/>
            <w:shd w:val="clear" w:color="auto" w:fill="auto"/>
            <w:hideMark/>
          </w:tcPr>
          <w:p w14:paraId="57FDDFE5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440E89" w:rsidRPr="00FF6B5A" w14:paraId="12EC3E4C" w14:textId="77777777" w:rsidTr="00440E89">
        <w:trPr>
          <w:trHeight w:val="2310"/>
        </w:trPr>
        <w:tc>
          <w:tcPr>
            <w:tcW w:w="422" w:type="dxa"/>
            <w:vMerge/>
            <w:vAlign w:val="center"/>
            <w:hideMark/>
          </w:tcPr>
          <w:p w14:paraId="22B47E64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378" w:type="dxa"/>
            <w:shd w:val="clear" w:color="auto" w:fill="D9E1F2"/>
            <w:vAlign w:val="center"/>
            <w:hideMark/>
          </w:tcPr>
          <w:p w14:paraId="0161932E" w14:textId="77777777" w:rsidR="00440E89" w:rsidRPr="00FF6B5A" w:rsidRDefault="006C5346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440E8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6946" w:type="dxa"/>
            <w:shd w:val="clear" w:color="auto" w:fill="auto"/>
            <w:hideMark/>
          </w:tcPr>
          <w:p w14:paraId="3AE660A0" w14:textId="7267973E" w:rsidR="00440E89" w:rsidRPr="003B64F1" w:rsidRDefault="00440E89" w:rsidP="006326AB">
            <w:pPr>
              <w:spacing w:after="0" w:line="240" w:lineRule="auto"/>
              <w:ind w:left="69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64F1">
              <w:rPr>
                <w:rFonts w:ascii="Calibri" w:eastAsia="Times New Roman" w:hAnsi="Calibri" w:cs="Times New Roman"/>
                <w:color w:val="000000"/>
                <w:lang w:eastAsia="sk-SK"/>
              </w:rPr>
              <w:t>Kniha analyzuje judikatúru Najvyššieho súdu Slovenskej republiky a Najvyššieho správneho súdu, ktoré si protirečili, pokiaľ ide o verejnoprávnu alebo súkromnoprávnu povahu športových združení. Autor tvrdí, že ide o čisto súkromnoprávnu povahu, a preto nie je daná žiadna kompetencia a jurisdikcia správnych súdov.</w:t>
            </w:r>
          </w:p>
          <w:p w14:paraId="25D746C2" w14:textId="77777777" w:rsidR="00440E89" w:rsidRDefault="00440E89" w:rsidP="006326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EC2539C" w14:textId="77777777" w:rsidR="00440E89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00E62AD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440E89" w:rsidRPr="00FF6B5A" w14:paraId="1178C1E4" w14:textId="77777777" w:rsidTr="00440E89">
        <w:trPr>
          <w:trHeight w:val="915"/>
        </w:trPr>
        <w:tc>
          <w:tcPr>
            <w:tcW w:w="3800" w:type="dxa"/>
            <w:gridSpan w:val="2"/>
            <w:shd w:val="clear" w:color="auto" w:fill="D9E1F2"/>
            <w:vAlign w:val="center"/>
            <w:hideMark/>
          </w:tcPr>
          <w:p w14:paraId="0FDE8B40" w14:textId="77777777" w:rsidR="00440E89" w:rsidRPr="00FF6B5A" w:rsidRDefault="006C5346" w:rsidP="009E2573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440E8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440E8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440E89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440E8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6946" w:type="dxa"/>
            <w:shd w:val="clear" w:color="auto" w:fill="auto"/>
            <w:hideMark/>
          </w:tcPr>
          <w:p w14:paraId="4F91701F" w14:textId="77777777" w:rsidR="00440E89" w:rsidRDefault="00440E89" w:rsidP="009E25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</w:t>
            </w:r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he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analyses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case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Supreme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Court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Slovakia and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Supreme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Administrative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Court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which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were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contradictory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 to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public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private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nature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sports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associations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author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claims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nature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purely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private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hence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no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competence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jurisdiction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administrative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courts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given</w:t>
            </w:r>
            <w:proofErr w:type="spellEnd"/>
            <w:r w:rsidRPr="001C4912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39D3E804" w14:textId="5F5E66E5" w:rsidR="00440E89" w:rsidRPr="00FF6B5A" w:rsidRDefault="00440E89" w:rsidP="009E25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440E89" w:rsidRPr="00FF6B5A" w14:paraId="6ECD6D34" w14:textId="77777777" w:rsidTr="00440E89">
        <w:trPr>
          <w:trHeight w:val="810"/>
        </w:trPr>
        <w:tc>
          <w:tcPr>
            <w:tcW w:w="3800" w:type="dxa"/>
            <w:gridSpan w:val="2"/>
            <w:shd w:val="clear" w:color="auto" w:fill="DAE3F3"/>
            <w:vAlign w:val="center"/>
            <w:hideMark/>
          </w:tcPr>
          <w:p w14:paraId="4C0F6023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6946" w:type="dxa"/>
            <w:shd w:val="clear" w:color="auto" w:fill="auto"/>
            <w:hideMark/>
          </w:tcPr>
          <w:p w14:paraId="54D9D3B2" w14:textId="0B73B2BE" w:rsidR="00440E89" w:rsidRPr="008C730C" w:rsidRDefault="00440E89" w:rsidP="008C7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024 [01/20] / SVK -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Szomolaiová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Csilla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Preskúmateľnosť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rozhodnutí orgánov športových zväzov v rámci správneho súdnictva [elektronický dokument]. DOI 10.31577/pravnyobzor.2024.3.04 In: Právny obzor: teoretický časopis pre otázky štátu a práva. Bratislava: Slovenská akadémia vied. Pracoviská SAV. Ústav štátu a práva SAV, 2024, Roč. 107, č. 3, s. 285-302 [tlačená forma] [online]. ISSN 0032-6984. ISSN (online) 2729-9228. - OA ; SCO, s. 285 - 302</w:t>
            </w:r>
          </w:p>
          <w:p w14:paraId="439B245D" w14:textId="77777777" w:rsidR="00440E89" w:rsidRPr="008C730C" w:rsidRDefault="00440E89" w:rsidP="008C7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8D92FC0" w14:textId="2112682B" w:rsidR="00440E89" w:rsidRDefault="00440E89" w:rsidP="008C7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2023 [02/20] / SVK -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Horvat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Matej -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Hamuľáková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Zuzana. Správne disciplinárne delikty členov stavovských komôr so zameraním na vyčiarknutie člena z komory [elektronický dokument] =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Administrative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disciplinary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offences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members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professional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chambers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focus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striking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off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their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members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In: Stavovská a profesijná organizácia - subjekt verejnej správy: zborník referátov z vedeckej konferencie so zahraničnou účasťou. Trnava: Trnavská univerzita v Trnave.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Typi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Universitatis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>Tyrnaviensis</w:t>
            </w:r>
            <w:proofErr w:type="spellEnd"/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spoločné pracovisko Trnavskej univerzity v Trnave a Vedy, vydavateľstva Slovenskej akadémie vied, 2023, s. 68-90 [tlačená forma] [online]. ISBN 978-80-568-0596-1. ISBN (online) 978-80-568-0597-8, s. 68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8C730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90</w:t>
            </w:r>
          </w:p>
          <w:p w14:paraId="556A6C66" w14:textId="31CECF50" w:rsidR="00440E89" w:rsidRPr="00FF6B5A" w:rsidRDefault="00440E89" w:rsidP="008C7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440E89" w:rsidRPr="00FF6B5A" w14:paraId="5E940406" w14:textId="77777777" w:rsidTr="00440E89">
        <w:trPr>
          <w:trHeight w:val="1170"/>
        </w:trPr>
        <w:tc>
          <w:tcPr>
            <w:tcW w:w="3800" w:type="dxa"/>
            <w:gridSpan w:val="2"/>
            <w:shd w:val="clear" w:color="auto" w:fill="DAE3F3"/>
            <w:vAlign w:val="center"/>
            <w:hideMark/>
          </w:tcPr>
          <w:p w14:paraId="008720DF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lastRenderedPageBreak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6946" w:type="dxa"/>
            <w:shd w:val="clear" w:color="auto" w:fill="auto"/>
            <w:hideMark/>
          </w:tcPr>
          <w:p w14:paraId="537E12F4" w14:textId="72847E4C" w:rsidR="00440E89" w:rsidRPr="00FF6B5A" w:rsidRDefault="00440E89" w:rsidP="008C7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Kniha bola citovaná v následnom rozhodnutí kompetenčného senátu Najvyššieho súdu a Najvyššieho správneho súdu. Závery knihy boli akceptované a použité na podporu súdnej argumentácie súladnej s argumentáciou v monografii. /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was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cited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subsequent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case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Competence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Senate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Supreme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Court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Supreme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Administrative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Court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.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conclusions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were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accepted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to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support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arguments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court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being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line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argumentation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monograph</w:t>
            </w:r>
            <w:proofErr w:type="spellEnd"/>
            <w:r w:rsidRPr="00ED557F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5B04B4AC" w14:textId="3236A028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440E89" w:rsidRPr="00FF6B5A" w14:paraId="3EE78CC0" w14:textId="77777777" w:rsidTr="00440E89">
        <w:trPr>
          <w:trHeight w:val="1290"/>
        </w:trPr>
        <w:tc>
          <w:tcPr>
            <w:tcW w:w="3800" w:type="dxa"/>
            <w:gridSpan w:val="2"/>
            <w:shd w:val="clear" w:color="auto" w:fill="DAE3F3"/>
            <w:vAlign w:val="center"/>
            <w:hideMark/>
          </w:tcPr>
          <w:p w14:paraId="00C85DB2" w14:textId="77777777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6946" w:type="dxa"/>
            <w:shd w:val="clear" w:color="auto" w:fill="auto"/>
            <w:hideMark/>
          </w:tcPr>
          <w:p w14:paraId="51E4AB1F" w14:textId="5A330645" w:rsidR="00440E89" w:rsidRPr="00FF6B5A" w:rsidRDefault="00440E89" w:rsidP="00ED5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Závery monografie sa využívajú v rámci výučby predmetu Športové právo./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conclusions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monograph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are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being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teaching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course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Sports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5676FE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21BF31D5" w14:textId="4277C8F1" w:rsidR="00440E89" w:rsidRPr="00FF6B5A" w:rsidRDefault="00440E89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218D98C" w14:textId="3E391655" w:rsidR="00C86832" w:rsidRPr="00FF6B5A" w:rsidRDefault="00C86832"/>
    <w:sectPr w:rsidR="00C86832" w:rsidRPr="00FF6B5A" w:rsidSect="008E210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DF45" w14:textId="77777777" w:rsidR="00CA7022" w:rsidRDefault="00CA7022" w:rsidP="00816E73">
      <w:pPr>
        <w:spacing w:after="0" w:line="240" w:lineRule="auto"/>
      </w:pPr>
      <w:r>
        <w:separator/>
      </w:r>
    </w:p>
  </w:endnote>
  <w:endnote w:type="continuationSeparator" w:id="0">
    <w:p w14:paraId="4A47E601" w14:textId="77777777" w:rsidR="00CA7022" w:rsidRDefault="00CA7022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87B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2CED" w14:textId="77777777" w:rsidR="00A23768" w:rsidRDefault="00A23768">
    <w:pPr>
      <w:pStyle w:val="Pta"/>
    </w:pPr>
    <w:r w:rsidRPr="00A23768">
      <w:t>T_Z_VTCAj_1/ 2020</w:t>
    </w:r>
  </w:p>
  <w:p w14:paraId="6FF46639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17EF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1CAF" w14:textId="77777777" w:rsidR="00CA7022" w:rsidRDefault="00CA7022" w:rsidP="00816E73">
      <w:pPr>
        <w:spacing w:after="0" w:line="240" w:lineRule="auto"/>
      </w:pPr>
      <w:r>
        <w:separator/>
      </w:r>
    </w:p>
  </w:footnote>
  <w:footnote w:type="continuationSeparator" w:id="0">
    <w:p w14:paraId="49CB05FF" w14:textId="77777777" w:rsidR="00CA7022" w:rsidRDefault="00CA7022" w:rsidP="00816E73">
      <w:pPr>
        <w:spacing w:after="0" w:line="240" w:lineRule="auto"/>
      </w:pPr>
      <w:r>
        <w:continuationSeparator/>
      </w:r>
    </w:p>
  </w:footnote>
  <w:footnote w:id="1">
    <w:p w14:paraId="2C5980B8" w14:textId="77777777" w:rsidR="00440E89" w:rsidRPr="001F26CD" w:rsidRDefault="00440E8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0ABDED3" w14:textId="77777777" w:rsidR="00440E89" w:rsidRPr="001F26CD" w:rsidRDefault="00440E8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5C8FFF2C" w14:textId="77777777" w:rsidR="00440E89" w:rsidRPr="001F26CD" w:rsidRDefault="00440E8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B3D0F82" w14:textId="77777777" w:rsidR="00440E89" w:rsidRPr="001F26CD" w:rsidRDefault="00440E8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1088A8F9" w14:textId="77777777" w:rsidR="00440E89" w:rsidRPr="001F26CD" w:rsidRDefault="00440E8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5C71B84" w14:textId="77777777" w:rsidR="00440E89" w:rsidRPr="001F26CD" w:rsidRDefault="00440E8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22778699" w14:textId="77777777" w:rsidR="00440E89" w:rsidRPr="001F26CD" w:rsidRDefault="00440E8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5E7367C8" w14:textId="77777777" w:rsidR="00440E89" w:rsidRPr="001F26CD" w:rsidRDefault="00440E8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0C615972" w14:textId="77777777" w:rsidR="00440E89" w:rsidRPr="001F26CD" w:rsidRDefault="00440E8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304B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53B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F93EB5E" wp14:editId="68B96B62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5E70A5F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3088" w14:textId="77777777" w:rsidR="00B15040" w:rsidRDefault="00B150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32981"/>
    <w:rsid w:val="000569D2"/>
    <w:rsid w:val="0008088C"/>
    <w:rsid w:val="00087B3E"/>
    <w:rsid w:val="00096FBC"/>
    <w:rsid w:val="00102D82"/>
    <w:rsid w:val="00112E20"/>
    <w:rsid w:val="00112F47"/>
    <w:rsid w:val="00132934"/>
    <w:rsid w:val="001435E6"/>
    <w:rsid w:val="00147D80"/>
    <w:rsid w:val="001A42DD"/>
    <w:rsid w:val="001C2BCC"/>
    <w:rsid w:val="001C4912"/>
    <w:rsid w:val="001F26CD"/>
    <w:rsid w:val="00211AD1"/>
    <w:rsid w:val="00222794"/>
    <w:rsid w:val="00254F8C"/>
    <w:rsid w:val="00283E28"/>
    <w:rsid w:val="002904EA"/>
    <w:rsid w:val="002F3010"/>
    <w:rsid w:val="003B64F1"/>
    <w:rsid w:val="003C3434"/>
    <w:rsid w:val="003E38CF"/>
    <w:rsid w:val="003F1738"/>
    <w:rsid w:val="00422600"/>
    <w:rsid w:val="00431A2A"/>
    <w:rsid w:val="00440E89"/>
    <w:rsid w:val="004D5CBD"/>
    <w:rsid w:val="004E4223"/>
    <w:rsid w:val="004E4845"/>
    <w:rsid w:val="00502F15"/>
    <w:rsid w:val="00532FE9"/>
    <w:rsid w:val="005676FE"/>
    <w:rsid w:val="00572798"/>
    <w:rsid w:val="005C7E36"/>
    <w:rsid w:val="00601BE3"/>
    <w:rsid w:val="00606390"/>
    <w:rsid w:val="006326AB"/>
    <w:rsid w:val="00642902"/>
    <w:rsid w:val="006447E1"/>
    <w:rsid w:val="0066617E"/>
    <w:rsid w:val="00675F63"/>
    <w:rsid w:val="006849EB"/>
    <w:rsid w:val="006B76BB"/>
    <w:rsid w:val="006C5346"/>
    <w:rsid w:val="006C6803"/>
    <w:rsid w:val="006C78FA"/>
    <w:rsid w:val="007245C1"/>
    <w:rsid w:val="0073035D"/>
    <w:rsid w:val="00731270"/>
    <w:rsid w:val="007836AB"/>
    <w:rsid w:val="007D6EDF"/>
    <w:rsid w:val="00816E73"/>
    <w:rsid w:val="008250D7"/>
    <w:rsid w:val="00852CC7"/>
    <w:rsid w:val="00896467"/>
    <w:rsid w:val="008B1D73"/>
    <w:rsid w:val="008B5D51"/>
    <w:rsid w:val="008B78D7"/>
    <w:rsid w:val="008C730C"/>
    <w:rsid w:val="008E2108"/>
    <w:rsid w:val="009073D6"/>
    <w:rsid w:val="0092293B"/>
    <w:rsid w:val="00943F69"/>
    <w:rsid w:val="009547F9"/>
    <w:rsid w:val="00972FFD"/>
    <w:rsid w:val="00974012"/>
    <w:rsid w:val="00975300"/>
    <w:rsid w:val="00980601"/>
    <w:rsid w:val="00991820"/>
    <w:rsid w:val="009A6BF4"/>
    <w:rsid w:val="009E2573"/>
    <w:rsid w:val="009F114D"/>
    <w:rsid w:val="00A23768"/>
    <w:rsid w:val="00A52F76"/>
    <w:rsid w:val="00A54BB1"/>
    <w:rsid w:val="00AA3437"/>
    <w:rsid w:val="00AF77AF"/>
    <w:rsid w:val="00B0186D"/>
    <w:rsid w:val="00B15040"/>
    <w:rsid w:val="00B72EC4"/>
    <w:rsid w:val="00BA1526"/>
    <w:rsid w:val="00C01E2A"/>
    <w:rsid w:val="00C40D4D"/>
    <w:rsid w:val="00C52B62"/>
    <w:rsid w:val="00C83233"/>
    <w:rsid w:val="00C86832"/>
    <w:rsid w:val="00C91304"/>
    <w:rsid w:val="00CA7022"/>
    <w:rsid w:val="00CB268F"/>
    <w:rsid w:val="00D64B7C"/>
    <w:rsid w:val="00D733AB"/>
    <w:rsid w:val="00D800B9"/>
    <w:rsid w:val="00DF58A6"/>
    <w:rsid w:val="00DF77E6"/>
    <w:rsid w:val="00E15109"/>
    <w:rsid w:val="00E3060A"/>
    <w:rsid w:val="00E539B8"/>
    <w:rsid w:val="00EC403D"/>
    <w:rsid w:val="00ED557F"/>
    <w:rsid w:val="00F00510"/>
    <w:rsid w:val="00F27FF2"/>
    <w:rsid w:val="00F8560F"/>
    <w:rsid w:val="00FC4566"/>
    <w:rsid w:val="00FD1CB7"/>
    <w:rsid w:val="00FE27EC"/>
    <w:rsid w:val="00FF6B5A"/>
    <w:rsid w:val="54DA4DB7"/>
    <w:rsid w:val="6783C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C82B6"/>
  <w15:docId w15:val="{0DC5D1EE-351A-4B06-A523-A52E89C7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F301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31270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C68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C680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portalvs.sk/regzam/detail/3821?do=filterForm-submit&amp;name=Tom%C3%A1%C5%A1&amp;surname=G%C3%A1bri%C5%A1&amp;employment_state=yes&amp;filter=Vyh%C4%BEada%C5%A5" TargetMode="External"/><Relationship Id="rId2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8" Type="http://schemas.openxmlformats.org/officeDocument/2006/relationships/header" Target="header3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3954-2A52-4FF2-B3AA-0A41C2E9C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6EADAA-582F-4BF9-9DCA-9FC456DDF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0AACC0-5B5B-4EB3-ACA9-67F937DDE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1680</Words>
  <Characters>9578</Characters>
  <Application>Microsoft Office Word</Application>
  <DocSecurity>0</DocSecurity>
  <Lines>79</Lines>
  <Paragraphs>22</Paragraphs>
  <ScaleCrop>false</ScaleCrop>
  <Company>Trnavska univerzita</Company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44</cp:revision>
  <cp:lastPrinted>2025-08-18T09:31:00Z</cp:lastPrinted>
  <dcterms:created xsi:type="dcterms:W3CDTF">2022-01-12T08:15:00Z</dcterms:created>
  <dcterms:modified xsi:type="dcterms:W3CDTF">2025-11-04T08:09:00Z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