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4260"/>
        <w:gridCol w:w="5075"/>
      </w:tblGrid>
      <w:tr w:rsidR="00FF6B5A" w:rsidRPr="00FF6B5A" w14:paraId="4FC37061" w14:textId="77777777" w:rsidTr="290FC52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371B1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7FA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F5C4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74AAA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6AD607E" w14:textId="77777777" w:rsidTr="290FC52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17BB1D6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064661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C6F46C7" w14:textId="77777777" w:rsidTr="290FC52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45B76F9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3F0155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3C98328B" w14:textId="77777777" w:rsidTr="290FC524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63FB2585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B485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0A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D4ED1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EE87C82" w14:textId="77777777" w:rsidTr="290FC52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35D7D84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34904D0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11C21B7" w14:textId="77777777" w:rsidTr="290FC52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7FD551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CB5AF8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1A614F2E" w14:textId="77777777" w:rsidTr="290FC524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3F46487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7C98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B7CB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4C3A3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210436C" w14:textId="77777777" w:rsidTr="290FC52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227685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A6FC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2FFED08" w14:textId="77777777" w:rsidR="00FF6B5A" w:rsidRPr="00FF6B5A" w:rsidRDefault="00F800F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6F351269" w14:textId="77777777" w:rsidR="00FF6B5A" w:rsidRPr="00FF6B5A" w:rsidRDefault="00FF6B5A" w:rsidP="00E028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C00400B" w14:textId="77777777" w:rsidTr="290FC52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4F77B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85C0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1E2EEB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90ABCF9" w14:textId="77777777" w:rsidR="00FF6B5A" w:rsidRPr="00FF6B5A" w:rsidRDefault="00FF6B5A" w:rsidP="00E028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9B4B181" w14:textId="77777777" w:rsidTr="290FC524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30A5F0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811D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1D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793360" w14:textId="77777777" w:rsidR="00FF6B5A" w:rsidRPr="00FF6B5A" w:rsidRDefault="00FF6B5A" w:rsidP="00E02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5A0B353" w14:textId="77777777" w:rsidTr="290FC52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40A949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4F2CF34" w14:textId="77777777" w:rsidR="00FF6B5A" w:rsidRPr="00FF6B5A" w:rsidRDefault="00F800F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3203C4C6" w14:textId="3AA30174" w:rsidR="00FF6B5A" w:rsidRPr="00FF6B5A" w:rsidRDefault="00991820" w:rsidP="00E028A2">
            <w:pPr>
              <w:tabs>
                <w:tab w:val="left" w:pos="76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Gábriš</w:t>
            </w:r>
          </w:p>
        </w:tc>
      </w:tr>
      <w:tr w:rsidR="00FF6B5A" w:rsidRPr="00FF6B5A" w14:paraId="0C61E1CD" w14:textId="77777777" w:rsidTr="290FC524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110C575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18046F4" w14:textId="77777777" w:rsidR="00FF6B5A" w:rsidRPr="00FF6B5A" w:rsidRDefault="00F800FB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2ED302" w14:textId="77793850" w:rsidR="00FF6B5A" w:rsidRPr="00FF6B5A" w:rsidRDefault="00991820" w:rsidP="00E028A2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Tomáš</w:t>
            </w:r>
          </w:p>
        </w:tc>
      </w:tr>
      <w:tr w:rsidR="00FF6B5A" w:rsidRPr="00FF6B5A" w14:paraId="26259EB5" w14:textId="77777777" w:rsidTr="290FC52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22022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5D5AF33" w14:textId="77777777" w:rsidR="00FF6B5A" w:rsidRPr="00FF6B5A" w:rsidRDefault="00F800FB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AF1E2E" w14:textId="2DC7C89D" w:rsidR="00FF6B5A" w:rsidRPr="00FF6B5A" w:rsidRDefault="00FF6B5A" w:rsidP="00E028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91820">
              <w:rPr>
                <w:rFonts w:ascii="Calibri" w:eastAsia="Times New Roman" w:hAnsi="Calibri" w:cs="Times New Roman"/>
                <w:color w:val="000000"/>
                <w:lang w:eastAsia="sk-SK"/>
              </w:rPr>
              <w:t>Prof. JUDr. PhDr. Mgr., PhD., LLM, MA</w:t>
            </w:r>
          </w:p>
        </w:tc>
      </w:tr>
      <w:tr w:rsidR="00FF6B5A" w:rsidRPr="00FF6B5A" w14:paraId="7562C207" w14:textId="77777777" w:rsidTr="290FC52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C4650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09D951D" w14:textId="77777777" w:rsidR="00FF6B5A" w:rsidRPr="00FF6B5A" w:rsidRDefault="00F800F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23961F8D" w14:textId="10904A28" w:rsidR="002F301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F3010" w:rsidRPr="00B72EC4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</w:t>
            </w:r>
            <w:r w:rsidR="002F3010"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?</w:t>
            </w:r>
          </w:p>
          <w:p w14:paraId="725DBB09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do=</w:t>
            </w: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filterForm-submit&amp;name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=Tom</w:t>
            </w:r>
          </w:p>
          <w:p w14:paraId="45D992F9" w14:textId="14AAAA8E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%C3%A1%C5%A1&amp;surname=</w:t>
            </w:r>
          </w:p>
          <w:p w14:paraId="569B08BA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G%C3%A1bri%C5%A1&amp;sort=</w:t>
            </w:r>
          </w:p>
          <w:p w14:paraId="1385A377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surname&amp;employment_state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386E2A8A" w14:textId="08DCD750" w:rsidR="00FF6B5A" w:rsidRPr="00FF6B5A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yes&amp;filter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=Vyh%C4%BEada%C5%A5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71278DC8" w14:textId="77777777" w:rsidTr="290FC524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BA804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5D8EA41" w14:textId="77777777" w:rsidR="00FF6B5A" w:rsidRPr="00FF6B5A" w:rsidRDefault="00F800FB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7D9FA91C" w14:textId="3CCDBF43" w:rsidR="00FF6B5A" w:rsidRPr="00FF6B5A" w:rsidRDefault="00FF6B5A" w:rsidP="00F800FB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Študijný program „Právo“ - 1. a 2. stupeň/ študijný program Teória a dejiny štátu a práva - 3. stupeň / </w:t>
            </w:r>
            <w:r w:rsidR="00F800FB" w:rsidRPr="00F800FB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>Study program "Law" - 1st and 2nd degree and  3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rd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degree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program - "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"/ HIK Teória a dejiny štátu a práva/ HIK "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F800FB" w:rsidRPr="00F800FB">
              <w:rPr>
                <w:rFonts w:ascii="Calibri" w:eastAsia="Times New Roman" w:hAnsi="Calibri" w:cs="Times New Roman"/>
                <w:color w:val="000000"/>
                <w:lang w:eastAsia="sk-SK"/>
              </w:rPr>
              <w:t>"</w:t>
            </w:r>
          </w:p>
        </w:tc>
      </w:tr>
      <w:tr w:rsidR="008E2108" w:rsidRPr="00FF6B5A" w14:paraId="2CB58EF0" w14:textId="77777777" w:rsidTr="290FC524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1577202E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1A3531" w14:textId="456D82A1" w:rsidR="008E2108" w:rsidRDefault="54E10A64" w:rsidP="290FC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90FC524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76049" w14:textId="38CD2B91" w:rsidR="008E2108" w:rsidRPr="00FF6B5A" w:rsidRDefault="00B72EC4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FF6B5A" w:rsidRPr="00FF6B5A" w14:paraId="4EFA946B" w14:textId="77777777" w:rsidTr="290FC52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C394C6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D35D720" w14:textId="77777777" w:rsidR="00FF6B5A" w:rsidRDefault="00F800FB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258AC530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7BB7EC1" w14:textId="40F2E3BB" w:rsidR="00FF6B5A" w:rsidRPr="0042260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</w:p>
        </w:tc>
      </w:tr>
      <w:tr w:rsidR="00FF6B5A" w:rsidRPr="00FF6B5A" w14:paraId="2EB48D57" w14:textId="77777777" w:rsidTr="290FC52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7E1CB2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E0051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D33FE6D" w14:textId="3BB94373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C2BCC">
              <w:rPr>
                <w:rFonts w:ascii="Calibri" w:eastAsia="Times New Roman" w:hAnsi="Calibri" w:cs="Times New Roman"/>
                <w:color w:val="000000"/>
                <w:lang w:eastAsia="sk-SK"/>
              </w:rPr>
              <w:t>201</w:t>
            </w:r>
            <w:r w:rsid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</w:tr>
      <w:tr w:rsidR="00FF6B5A" w:rsidRPr="00FF6B5A" w14:paraId="05549DEC" w14:textId="77777777" w:rsidTr="290FC52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F9F121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48664EE" w14:textId="77777777" w:rsidR="00FF6B5A" w:rsidRPr="00FF6B5A" w:rsidRDefault="00F800F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62DAF778" w14:textId="60DCB1ED" w:rsidR="00422600" w:rsidRPr="00FF6B5A" w:rsidRDefault="009D3BED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ID: 61253 | </w:t>
            </w:r>
            <w:proofErr w:type="spellStart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Prolegomena</w:t>
            </w:r>
            <w:proofErr w:type="spellEnd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to </w:t>
            </w:r>
            <w:proofErr w:type="spellStart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legal</w:t>
            </w:r>
            <w:proofErr w:type="spellEnd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history</w:t>
            </w:r>
            <w:proofErr w:type="spellEnd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of East-</w:t>
            </w:r>
            <w:proofErr w:type="spellStart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central</w:t>
            </w:r>
            <w:proofErr w:type="spellEnd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9D3BE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Europe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[textový dokument (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Gábriš, Tomáš [Autor, 100%] ; Horák, 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Ondřej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[Recenzent] ; 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Peksa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Wladyslaw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[Recenzent]. – 1. vyd. – Praha (Česko) : 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, 2018. – 216 s. [tlačená forma]. – ISBN 978-80-7598-012-0. – ISBN 978-80-7598-013-7</w:t>
            </w:r>
          </w:p>
        </w:tc>
      </w:tr>
      <w:tr w:rsidR="00FF6B5A" w:rsidRPr="00FF6B5A" w14:paraId="56F250BD" w14:textId="77777777" w:rsidTr="290FC524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1A3B2CB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6B2F5B58" w14:textId="77777777" w:rsidR="00FF6B5A" w:rsidRPr="00FF6B5A" w:rsidRDefault="00F800F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698CC5A7" w14:textId="661A725A" w:rsidR="009D3BED" w:rsidRDefault="009D3BED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https://app.crepc.sk/?fn=</w:t>
            </w:r>
          </w:p>
          <w:p w14:paraId="05B1690D" w14:textId="77777777" w:rsidR="009D3BED" w:rsidRDefault="009D3BED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detailBiblioForm&amp;sid</w:t>
            </w:r>
            <w:proofErr w:type="spellEnd"/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12D02A45" w14:textId="2A291904" w:rsidR="00FF6B5A" w:rsidRPr="00FF6B5A" w:rsidRDefault="009D3BED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3BED">
              <w:rPr>
                <w:rFonts w:ascii="Calibri" w:eastAsia="Times New Roman" w:hAnsi="Calibri" w:cs="Times New Roman"/>
                <w:color w:val="000000"/>
                <w:lang w:eastAsia="sk-SK"/>
              </w:rPr>
              <w:t>A54F90724B082EF586EC9216</w:t>
            </w:r>
          </w:p>
        </w:tc>
      </w:tr>
      <w:tr w:rsidR="00C86832" w:rsidRPr="00FF6B5A" w14:paraId="6AFFD5D7" w14:textId="77777777" w:rsidTr="290FC524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9103AED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6EB16EE3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7F7DDAC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720FE156" w14:textId="77777777" w:rsidTr="290FC524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73BB887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7C6E7A9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3562ED52" w14:textId="77777777" w:rsidR="00FF6B5A" w:rsidRPr="00FF6B5A" w:rsidRDefault="00F800F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F37284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325FEA29" w14:textId="77777777" w:rsidTr="290FC524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644820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3CFBA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78FA0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C12A56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3310F91F" w14:textId="77777777" w:rsidTr="290FC52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24A6F1E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AD7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64D0622" w14:textId="77777777" w:rsidR="00FF6B5A" w:rsidRPr="00FF6B5A" w:rsidRDefault="00F800FB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3F1171F" w14:textId="77777777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7132EA15" w14:textId="77777777" w:rsidTr="290FC524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2D31F3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5A3C0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0BD82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11331ED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1832E8E" w14:textId="77777777" w:rsidTr="290FC524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B088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25E2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0340DB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7FDDFE5" w14:textId="77777777" w:rsidR="00FF6B5A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12EC3E4C" w14:textId="77777777" w:rsidTr="290FC524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609DD9A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47E6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61932E" w14:textId="77777777" w:rsidR="00FF6B5A" w:rsidRPr="00FF6B5A" w:rsidRDefault="00F800F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57FED1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25D746C2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C2539C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00E62AD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1178C1E4" w14:textId="77777777" w:rsidTr="290FC524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C1EA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FDE8B40" w14:textId="77777777" w:rsidR="00FF6B5A" w:rsidRPr="00FF6B5A" w:rsidRDefault="00F800FB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6790D1F7" w14:textId="1A1E719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offers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an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exercise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00174">
              <w:rPr>
                <w:rFonts w:ascii="Calibri" w:eastAsia="Times New Roman" w:hAnsi="Calibri" w:cs="Times New Roman"/>
                <w:color w:val="000000"/>
                <w:lang w:eastAsia="sk-SK"/>
              </w:rPr>
              <w:t>histor</w:t>
            </w:r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treats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selected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shared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countries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East-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provides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methodological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tools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any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future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treatment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similar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issues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more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detailed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analysis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shared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historiography</w:t>
            </w:r>
            <w:proofErr w:type="spellEnd"/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 </w:t>
            </w:r>
          </w:p>
          <w:p w14:paraId="39D3E804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6ECD6D34" w14:textId="77777777" w:rsidTr="290FC524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0B2F28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C0F60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C70CE89" w14:textId="2038F456" w:rsidR="001C2BCC" w:rsidRDefault="008A59B8" w:rsidP="001C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  <w:p w14:paraId="556A6C66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E940406" w14:textId="77777777" w:rsidTr="290FC524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59E350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8720D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33202A2A" w14:textId="77777777" w:rsidR="00A1337C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Dielo sa orientuje na zahraničné publikum a na nadviazanie vedeckej spolupráce v oblasti výskumu právnych dejín strednej a východnej Európy. Poskytuje metodologický návod na spracovanie spoločných problémov právnej historiografie.</w:t>
            </w:r>
          </w:p>
          <w:p w14:paraId="5B04B4AC" w14:textId="0116E072" w:rsidR="00FF6B5A" w:rsidRPr="00FF6B5A" w:rsidRDefault="00A1337C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focuses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foreign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audience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on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establishing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cooperation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field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</w:t>
            </w:r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Central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Eastern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rovides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methodological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guidance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dealing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common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historiography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respective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part of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Europe</w:t>
            </w:r>
            <w:proofErr w:type="spellEnd"/>
            <w:r w:rsidRPr="00A1337C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3EE78CC0" w14:textId="77777777" w:rsidTr="290FC52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6F6B41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C85D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C60EE5D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Dielo zasadzuje problematiku dejín práva na území Slovenska do širšieho geografického kontextu. Predstavuje vhodnú učebnú pomôcku osobitne pre zahraničných študentov, ktorým v rámci predmetu Slovak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predstavuje širší kontext vývoja práva na území Slovenska.</w:t>
            </w:r>
          </w:p>
          <w:p w14:paraId="21BF31D5" w14:textId="42797236" w:rsidR="00063C2C" w:rsidRPr="00FF6B5A" w:rsidRDefault="00063C2C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places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broader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geographical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suitable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teaching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aid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especially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foreign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students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who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take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Slovak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offers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them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broader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context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development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063C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Slovakia.</w:t>
            </w:r>
          </w:p>
        </w:tc>
      </w:tr>
      <w:tr w:rsidR="00FF6B5A" w:rsidRPr="00FF6B5A" w14:paraId="592089CA" w14:textId="77777777" w:rsidTr="290FC52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40F74F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6BD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E60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BF18A0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218D98C" w14:textId="3E391655" w:rsidR="00C86832" w:rsidRPr="00FF6B5A" w:rsidRDefault="00C86832"/>
    <w:sectPr w:rsidR="00C86832" w:rsidRPr="00FF6B5A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814E" w14:textId="77777777" w:rsidR="009F1996" w:rsidRDefault="009F1996" w:rsidP="00816E73">
      <w:pPr>
        <w:spacing w:after="0" w:line="240" w:lineRule="auto"/>
      </w:pPr>
      <w:r>
        <w:separator/>
      </w:r>
    </w:p>
  </w:endnote>
  <w:endnote w:type="continuationSeparator" w:id="0">
    <w:p w14:paraId="0FB8E96F" w14:textId="77777777" w:rsidR="009F1996" w:rsidRDefault="009F1996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87B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2CED" w14:textId="77777777" w:rsidR="00A23768" w:rsidRDefault="00A23768">
    <w:pPr>
      <w:pStyle w:val="Pta"/>
    </w:pPr>
    <w:r w:rsidRPr="00A23768">
      <w:t>T_Z_VTCAj_1/ 2020</w:t>
    </w:r>
  </w:p>
  <w:p w14:paraId="6FF46639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7EF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4BC1" w14:textId="77777777" w:rsidR="009F1996" w:rsidRDefault="009F1996" w:rsidP="00816E73">
      <w:pPr>
        <w:spacing w:after="0" w:line="240" w:lineRule="auto"/>
      </w:pPr>
      <w:r>
        <w:separator/>
      </w:r>
    </w:p>
  </w:footnote>
  <w:footnote w:type="continuationSeparator" w:id="0">
    <w:p w14:paraId="23E0A279" w14:textId="77777777" w:rsidR="009F1996" w:rsidRDefault="009F1996" w:rsidP="00816E73">
      <w:pPr>
        <w:spacing w:after="0" w:line="240" w:lineRule="auto"/>
      </w:pPr>
      <w:r>
        <w:continuationSeparator/>
      </w:r>
    </w:p>
  </w:footnote>
  <w:footnote w:id="1">
    <w:p w14:paraId="2C5980B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0ABDED3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C8FFF2C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B3D0F8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088A8F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5C71B8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77869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E7367C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C61597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304B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53B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F93EB5E" wp14:editId="68B96B62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E70A5F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3088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63C2C"/>
    <w:rsid w:val="0008088C"/>
    <w:rsid w:val="00087B3E"/>
    <w:rsid w:val="00102D82"/>
    <w:rsid w:val="00112F47"/>
    <w:rsid w:val="001A42DD"/>
    <w:rsid w:val="001C2BCC"/>
    <w:rsid w:val="001F26CD"/>
    <w:rsid w:val="00222794"/>
    <w:rsid w:val="00255F31"/>
    <w:rsid w:val="002F3010"/>
    <w:rsid w:val="00317804"/>
    <w:rsid w:val="00422600"/>
    <w:rsid w:val="00431A2A"/>
    <w:rsid w:val="004D5CBD"/>
    <w:rsid w:val="004E4845"/>
    <w:rsid w:val="00502F15"/>
    <w:rsid w:val="00532FE9"/>
    <w:rsid w:val="00572798"/>
    <w:rsid w:val="00616792"/>
    <w:rsid w:val="00675F63"/>
    <w:rsid w:val="006763F9"/>
    <w:rsid w:val="006849EB"/>
    <w:rsid w:val="00701490"/>
    <w:rsid w:val="00816E73"/>
    <w:rsid w:val="00852CC7"/>
    <w:rsid w:val="008A59B8"/>
    <w:rsid w:val="008B78D7"/>
    <w:rsid w:val="008E2108"/>
    <w:rsid w:val="009547F9"/>
    <w:rsid w:val="00974012"/>
    <w:rsid w:val="00975300"/>
    <w:rsid w:val="00980601"/>
    <w:rsid w:val="00981CD1"/>
    <w:rsid w:val="00991820"/>
    <w:rsid w:val="009D3BED"/>
    <w:rsid w:val="009F1996"/>
    <w:rsid w:val="00A1185B"/>
    <w:rsid w:val="00A1337C"/>
    <w:rsid w:val="00A23768"/>
    <w:rsid w:val="00B15040"/>
    <w:rsid w:val="00B664EF"/>
    <w:rsid w:val="00B72EC4"/>
    <w:rsid w:val="00BA1526"/>
    <w:rsid w:val="00BA7E06"/>
    <w:rsid w:val="00C40D4D"/>
    <w:rsid w:val="00C86832"/>
    <w:rsid w:val="00D64B7C"/>
    <w:rsid w:val="00D733AB"/>
    <w:rsid w:val="00DF77E6"/>
    <w:rsid w:val="00E028A2"/>
    <w:rsid w:val="00EC403D"/>
    <w:rsid w:val="00ED1381"/>
    <w:rsid w:val="00F00174"/>
    <w:rsid w:val="00F800FB"/>
    <w:rsid w:val="00F81AEC"/>
    <w:rsid w:val="00FE27EC"/>
    <w:rsid w:val="00FE4F7C"/>
    <w:rsid w:val="00FF6B5A"/>
    <w:rsid w:val="290FC524"/>
    <w:rsid w:val="54E1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82B6"/>
  <w15:docId w15:val="{0DC5D1EE-351A-4B06-A523-A52E89C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87A0B-0EC3-49AE-BEEA-C8CE56933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25019-6D23-4856-8567-9E503C739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6E1A0-9F6E-448A-9AC8-BA8E5FB7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8357</Characters>
  <Application>Microsoft Office Word</Application>
  <DocSecurity>0</DocSecurity>
  <Lines>69</Lines>
  <Paragraphs>19</Paragraphs>
  <ScaleCrop>false</ScaleCrop>
  <Company>Trnavska univerzita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7</cp:revision>
  <dcterms:created xsi:type="dcterms:W3CDTF">2022-01-12T09:59:00Z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