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FD" w:rsidRDefault="001F5DFD" w:rsidP="001F5DFD">
      <w:pPr>
        <w:pStyle w:val="Nadpis1"/>
        <w:numPr>
          <w:ilvl w:val="0"/>
          <w:numId w:val="0"/>
        </w:numPr>
        <w:ind w:left="360"/>
        <w:jc w:val="center"/>
        <w:rPr>
          <w:rFonts w:ascii="Times New Roman" w:hAnsi="Times New Roman"/>
          <w:caps w:val="0"/>
          <w:smallCaps/>
          <w:color w:val="000000"/>
        </w:rPr>
      </w:pPr>
      <w:proofErr w:type="spellStart"/>
      <w:r>
        <w:rPr>
          <w:rFonts w:ascii="Times New Roman" w:hAnsi="Times New Roman"/>
          <w:caps w:val="0"/>
          <w:smallCaps/>
        </w:rPr>
        <w:t>Universitas</w:t>
      </w:r>
      <w:proofErr w:type="spellEnd"/>
      <w:r>
        <w:rPr>
          <w:rFonts w:ascii="Times New Roman" w:hAnsi="Times New Roman"/>
          <w:caps w:val="0"/>
          <w:smallCaps/>
        </w:rPr>
        <w:t xml:space="preserve">   </w:t>
      </w:r>
      <w:proofErr w:type="spellStart"/>
      <w:r>
        <w:rPr>
          <w:rFonts w:ascii="Times New Roman" w:hAnsi="Times New Roman"/>
          <w:caps w:val="0"/>
          <w:smallCaps/>
        </w:rPr>
        <w:t>Tyrnaviensis</w:t>
      </w:r>
      <w:bookmarkStart w:id="0" w:name="_GoBack"/>
      <w:bookmarkEnd w:id="0"/>
      <w:proofErr w:type="spellEnd"/>
    </w:p>
    <w:p w:rsidR="001F5DFD" w:rsidRDefault="001F5DFD" w:rsidP="001F5DFD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75pt" o:ole="" fillcolor="window">
            <v:imagedata r:id="rId7" o:title=""/>
          </v:shape>
          <o:OLEObject Type="Embed" ProgID="CorelPhotoPaint.Image.8" ShapeID="_x0000_i1025" DrawAspect="Content" ObjectID="_1622951103" r:id="rId8"/>
        </w:object>
      </w:r>
    </w:p>
    <w:p w:rsidR="001F5DFD" w:rsidRDefault="001F5DFD" w:rsidP="001F5DFD">
      <w:pPr>
        <w:pStyle w:val="Zkladntext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1F5DFD" w:rsidRDefault="001F5DFD" w:rsidP="001F5DFD">
      <w:pPr>
        <w:pStyle w:val="Zkladntext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1F5DFD" w:rsidRDefault="001F5DFD" w:rsidP="001F5DFD">
      <w:pPr>
        <w:rPr>
          <w:sz w:val="28"/>
          <w:szCs w:val="28"/>
        </w:rPr>
      </w:pPr>
    </w:p>
    <w:p w:rsidR="001F5DFD" w:rsidRPr="007E47D9" w:rsidRDefault="001F5DFD" w:rsidP="001F5DFD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05690A">
        <w:rPr>
          <w:szCs w:val="24"/>
        </w:rPr>
        <w:t>2</w:t>
      </w:r>
      <w:r w:rsidR="000E419A">
        <w:rPr>
          <w:szCs w:val="24"/>
        </w:rPr>
        <w:t>5</w:t>
      </w:r>
      <w:r w:rsidR="0005690A">
        <w:rPr>
          <w:szCs w:val="24"/>
        </w:rPr>
        <w:t>.</w:t>
      </w:r>
      <w:r w:rsidR="000E419A">
        <w:rPr>
          <w:szCs w:val="24"/>
        </w:rPr>
        <w:t xml:space="preserve"> 0</w:t>
      </w:r>
      <w:r w:rsidR="00BC191E">
        <w:rPr>
          <w:szCs w:val="24"/>
        </w:rPr>
        <w:t>6</w:t>
      </w:r>
      <w:r w:rsidR="000E419A">
        <w:rPr>
          <w:szCs w:val="24"/>
        </w:rPr>
        <w:t>.</w:t>
      </w:r>
      <w:r w:rsidR="0005690A">
        <w:rPr>
          <w:szCs w:val="24"/>
        </w:rPr>
        <w:t xml:space="preserve"> 201</w:t>
      </w:r>
      <w:r w:rsidR="000E419A">
        <w:rPr>
          <w:szCs w:val="24"/>
        </w:rPr>
        <w:t>9</w:t>
      </w:r>
    </w:p>
    <w:p w:rsidR="001F5DFD" w:rsidRDefault="001F5DFD" w:rsidP="001F5DFD">
      <w:pPr>
        <w:spacing w:line="240" w:lineRule="auto"/>
        <w:jc w:val="center"/>
        <w:rPr>
          <w:b/>
          <w:snapToGrid w:val="0"/>
        </w:rPr>
      </w:pPr>
    </w:p>
    <w:p w:rsidR="001F5DFD" w:rsidRPr="007E47D9" w:rsidRDefault="001F5DFD" w:rsidP="001F5DFD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:rsidR="001F5DFD" w:rsidRPr="0084388F" w:rsidRDefault="001F5DFD" w:rsidP="001F5DFD">
      <w:pPr>
        <w:spacing w:line="240" w:lineRule="auto"/>
        <w:jc w:val="center"/>
        <w:rPr>
          <w:b/>
          <w:snapToGrid w:val="0"/>
        </w:rPr>
      </w:pPr>
      <w:r w:rsidRPr="0084388F">
        <w:rPr>
          <w:b/>
          <w:snapToGrid w:val="0"/>
        </w:rPr>
        <w:t>seminárov z predmetu</w:t>
      </w:r>
    </w:p>
    <w:p w:rsidR="001F5DFD" w:rsidRPr="007E47D9" w:rsidRDefault="001F5DFD" w:rsidP="001F5DFD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>
        <w:rPr>
          <w:b/>
          <w:i/>
          <w:snapToGrid w:val="0"/>
        </w:rPr>
        <w:t xml:space="preserve">Medzinárodnoprávna ochrana </w:t>
      </w:r>
      <w:r w:rsidRPr="007E47D9">
        <w:rPr>
          <w:b/>
          <w:i/>
          <w:snapToGrid w:val="0"/>
        </w:rPr>
        <w:t>práv</w:t>
      </w:r>
      <w:r>
        <w:rPr>
          <w:b/>
          <w:i/>
          <w:snapToGrid w:val="0"/>
        </w:rPr>
        <w:t xml:space="preserve"> príslušníkov menšín</w:t>
      </w:r>
      <w:r w:rsidRPr="007E47D9">
        <w:rPr>
          <w:b/>
          <w:i/>
          <w:snapToGrid w:val="0"/>
        </w:rPr>
        <w:t>“</w:t>
      </w:r>
    </w:p>
    <w:p w:rsidR="001F5DFD" w:rsidRPr="007E47D9" w:rsidRDefault="001F5DFD" w:rsidP="001F5DFD">
      <w:pPr>
        <w:spacing w:line="240" w:lineRule="auto"/>
        <w:jc w:val="center"/>
        <w:rPr>
          <w:b/>
        </w:rPr>
      </w:pPr>
      <w:r w:rsidRPr="007E47D9">
        <w:rPr>
          <w:b/>
          <w:snapToGrid w:val="0"/>
        </w:rPr>
        <w:t xml:space="preserve"> </w:t>
      </w:r>
      <w:r w:rsidRPr="007E47D9">
        <w:rPr>
          <w:b/>
        </w:rPr>
        <w:t>akademický rok</w:t>
      </w:r>
      <w:r w:rsidR="0005690A">
        <w:rPr>
          <w:b/>
        </w:rPr>
        <w:t xml:space="preserve"> 201</w:t>
      </w:r>
      <w:r w:rsidR="000E419A">
        <w:rPr>
          <w:b/>
        </w:rPr>
        <w:t>9</w:t>
      </w:r>
      <w:r w:rsidR="0005690A">
        <w:rPr>
          <w:b/>
        </w:rPr>
        <w:t>/20</w:t>
      </w:r>
      <w:r w:rsidR="000E419A">
        <w:rPr>
          <w:b/>
        </w:rPr>
        <w:t>20</w:t>
      </w:r>
      <w:r w:rsidRPr="007E47D9">
        <w:rPr>
          <w:b/>
        </w:rPr>
        <w:t xml:space="preserve">, </w:t>
      </w:r>
      <w:r>
        <w:rPr>
          <w:b/>
          <w:snapToGrid w:val="0"/>
        </w:rPr>
        <w:t>3</w:t>
      </w:r>
      <w:r w:rsidRPr="007E47D9">
        <w:rPr>
          <w:b/>
          <w:snapToGrid w:val="0"/>
        </w:rPr>
        <w:t xml:space="preserve">. </w:t>
      </w:r>
      <w:r w:rsidR="00AF4A71">
        <w:rPr>
          <w:b/>
          <w:snapToGrid w:val="0"/>
        </w:rPr>
        <w:t>r</w:t>
      </w:r>
      <w:r w:rsidRPr="007E47D9">
        <w:rPr>
          <w:b/>
          <w:snapToGrid w:val="0"/>
        </w:rPr>
        <w:t>očník</w:t>
      </w:r>
      <w:r w:rsidR="00AF4A71">
        <w:rPr>
          <w:b/>
          <w:snapToGrid w:val="0"/>
        </w:rPr>
        <w:t>, denné štúdium</w:t>
      </w:r>
    </w:p>
    <w:p w:rsidR="001F5DFD" w:rsidRDefault="001F5DFD" w:rsidP="001F5DFD">
      <w:pPr>
        <w:spacing w:line="240" w:lineRule="auto"/>
      </w:pPr>
    </w:p>
    <w:p w:rsidR="009E6E7B" w:rsidRDefault="00F93AED" w:rsidP="001F5DFD">
      <w:pPr>
        <w:spacing w:line="240" w:lineRule="auto"/>
        <w:rPr>
          <w:szCs w:val="24"/>
        </w:rPr>
      </w:pPr>
      <w:r w:rsidRPr="00B47605">
        <w:rPr>
          <w:szCs w:val="24"/>
        </w:rPr>
        <w:t xml:space="preserve">1. Vývoj a súčasná podoba </w:t>
      </w:r>
      <w:r w:rsidR="001F5DFD" w:rsidRPr="00B47605">
        <w:rPr>
          <w:szCs w:val="24"/>
        </w:rPr>
        <w:t>medzinárodnoprávnej ochrany práv príslušníkov menšín, definícia pojmu menšina a súvisiacich pojmov v medzinárodnom práve</w:t>
      </w:r>
      <w:r w:rsidR="009E6E7B">
        <w:rPr>
          <w:szCs w:val="24"/>
        </w:rPr>
        <w:t xml:space="preserve">. </w:t>
      </w:r>
      <w:r w:rsidRPr="00B47605">
        <w:rPr>
          <w:szCs w:val="24"/>
        </w:rPr>
        <w:t>H</w:t>
      </w:r>
      <w:r w:rsidR="001F5DFD" w:rsidRPr="00B47605">
        <w:rPr>
          <w:szCs w:val="24"/>
        </w:rPr>
        <w:t>istorické prístupy k ochrane práv príslušníkov menšín, ochrana práv príslušníkov menšín v rámci Spoločnosti národov</w:t>
      </w:r>
      <w:r w:rsidR="0005690A">
        <w:rPr>
          <w:szCs w:val="24"/>
        </w:rPr>
        <w:t xml:space="preserve">. </w:t>
      </w:r>
      <w:r w:rsidR="001F5DFD" w:rsidRPr="00B47605">
        <w:rPr>
          <w:szCs w:val="24"/>
        </w:rPr>
        <w:t xml:space="preserve"> </w:t>
      </w:r>
      <w:r w:rsidR="009E6E7B">
        <w:rPr>
          <w:szCs w:val="24"/>
        </w:rPr>
        <w:t xml:space="preserve"> </w:t>
      </w:r>
    </w:p>
    <w:p w:rsidR="001F5DFD" w:rsidRPr="00B47605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1F5DFD" w:rsidRPr="00B47605">
        <w:rPr>
          <w:szCs w:val="24"/>
        </w:rPr>
        <w:t>Ochrana práv príslušníkov menšín v rámci O</w:t>
      </w:r>
      <w:r w:rsidR="00C804AC">
        <w:rPr>
          <w:szCs w:val="24"/>
        </w:rPr>
        <w:t>rganizácie S</w:t>
      </w:r>
      <w:r w:rsidR="00787F26">
        <w:rPr>
          <w:szCs w:val="24"/>
        </w:rPr>
        <w:t>pojených národov I (</w:t>
      </w:r>
      <w:r w:rsidR="001F5DFD" w:rsidRPr="00B47605">
        <w:rPr>
          <w:szCs w:val="24"/>
        </w:rPr>
        <w:t>Všeobecný prehľad, Charta OSN (1945), Medzinárodný dohovor o odstránení všetkých forie</w:t>
      </w:r>
      <w:r>
        <w:rPr>
          <w:szCs w:val="24"/>
        </w:rPr>
        <w:t>m rasovej diskriminácie (1965)</w:t>
      </w:r>
      <w:r w:rsidR="00787F26">
        <w:rPr>
          <w:szCs w:val="24"/>
        </w:rPr>
        <w:t>)</w:t>
      </w:r>
      <w:r>
        <w:rPr>
          <w:szCs w:val="24"/>
        </w:rPr>
        <w:t>. Prípadová</w:t>
      </w:r>
      <w:r w:rsidR="001F5DFD" w:rsidRPr="00B47605">
        <w:rPr>
          <w:szCs w:val="24"/>
        </w:rPr>
        <w:t xml:space="preserve"> </w:t>
      </w:r>
      <w:r>
        <w:rPr>
          <w:szCs w:val="24"/>
        </w:rPr>
        <w:t xml:space="preserve">štúdia </w:t>
      </w:r>
      <w:r w:rsidR="001F5DFD" w:rsidRPr="00B47605">
        <w:rPr>
          <w:szCs w:val="24"/>
        </w:rPr>
        <w:t xml:space="preserve">v oblasti ochrany práv príslušníkov menšín Výboru na odstránenie rasovej diskriminácie -  prípad </w:t>
      </w:r>
      <w:r w:rsidR="001F5DFD" w:rsidRPr="00B47605">
        <w:rPr>
          <w:i/>
          <w:szCs w:val="24"/>
        </w:rPr>
        <w:t>Miroslav Lacko proti Slovenskej republike (2001)</w:t>
      </w:r>
      <w:r w:rsidR="00787F26">
        <w:rPr>
          <w:i/>
          <w:szCs w:val="24"/>
        </w:rPr>
        <w:t>.</w:t>
      </w:r>
      <w:r w:rsidR="001F5DFD" w:rsidRPr="00B47605">
        <w:rPr>
          <w:i/>
          <w:szCs w:val="24"/>
        </w:rPr>
        <w:t xml:space="preserve"> </w:t>
      </w:r>
    </w:p>
    <w:p w:rsidR="001F5DFD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1F5DFD" w:rsidRPr="00B47605">
        <w:rPr>
          <w:szCs w:val="24"/>
        </w:rPr>
        <w:t>. Ochrana práv príslušní</w:t>
      </w:r>
      <w:r w:rsidR="00C804AC">
        <w:rPr>
          <w:szCs w:val="24"/>
        </w:rPr>
        <w:t>kov menšín v rámci Organizácie S</w:t>
      </w:r>
      <w:r w:rsidR="001F5DFD" w:rsidRPr="00B47605">
        <w:rPr>
          <w:szCs w:val="24"/>
        </w:rPr>
        <w:t xml:space="preserve">pojených národov II (Medzinárodný pakt o občianskych a politických právach (1966), </w:t>
      </w:r>
      <w:r w:rsidR="00787F26">
        <w:rPr>
          <w:szCs w:val="24"/>
        </w:rPr>
        <w:t>Prípadová štúdia</w:t>
      </w:r>
      <w:r w:rsidR="009E6E7B">
        <w:rPr>
          <w:szCs w:val="24"/>
        </w:rPr>
        <w:t xml:space="preserve"> </w:t>
      </w:r>
      <w:r w:rsidR="00BD138F" w:rsidRPr="00B47605">
        <w:rPr>
          <w:szCs w:val="24"/>
        </w:rPr>
        <w:t>v oblasti práv príslušníkov menš</w:t>
      </w:r>
      <w:r w:rsidR="00787F26">
        <w:rPr>
          <w:szCs w:val="24"/>
        </w:rPr>
        <w:t>ín Výboru OSN pre ľudské práva -</w:t>
      </w:r>
      <w:r w:rsidR="00BD138F" w:rsidRPr="00B47605">
        <w:rPr>
          <w:szCs w:val="24"/>
        </w:rPr>
        <w:t xml:space="preserve"> prípad </w:t>
      </w:r>
      <w:r w:rsidR="00BD138F" w:rsidRPr="00B47605">
        <w:rPr>
          <w:i/>
          <w:szCs w:val="24"/>
        </w:rPr>
        <w:t xml:space="preserve">Bernard </w:t>
      </w:r>
      <w:proofErr w:type="spellStart"/>
      <w:r w:rsidR="00BD138F" w:rsidRPr="00B47605">
        <w:rPr>
          <w:i/>
          <w:szCs w:val="24"/>
        </w:rPr>
        <w:t>Ominayak</w:t>
      </w:r>
      <w:proofErr w:type="spellEnd"/>
      <w:r w:rsidR="00BD138F" w:rsidRPr="00B47605">
        <w:rPr>
          <w:i/>
          <w:szCs w:val="24"/>
        </w:rPr>
        <w:t xml:space="preserve">, náčelník skupiny od jazera </w:t>
      </w:r>
      <w:proofErr w:type="spellStart"/>
      <w:r w:rsidR="00BD138F" w:rsidRPr="00B47605">
        <w:rPr>
          <w:i/>
          <w:szCs w:val="24"/>
        </w:rPr>
        <w:t>Lubicon</w:t>
      </w:r>
      <w:proofErr w:type="spellEnd"/>
      <w:r w:rsidR="00BD138F" w:rsidRPr="00B47605">
        <w:rPr>
          <w:i/>
          <w:szCs w:val="24"/>
        </w:rPr>
        <w:t xml:space="preserve"> proti Kanade (1990)</w:t>
      </w:r>
      <w:r w:rsidR="00787F26">
        <w:rPr>
          <w:i/>
          <w:szCs w:val="24"/>
        </w:rPr>
        <w:t>.</w:t>
      </w:r>
      <w:r w:rsidR="009E6E7B">
        <w:rPr>
          <w:szCs w:val="24"/>
        </w:rPr>
        <w:t xml:space="preserve"> </w:t>
      </w:r>
    </w:p>
    <w:p w:rsidR="00787F26" w:rsidRPr="009E6E7B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787F26">
        <w:rPr>
          <w:szCs w:val="24"/>
        </w:rPr>
        <w:t xml:space="preserve">. </w:t>
      </w:r>
      <w:r w:rsidR="00787F26" w:rsidRPr="00B47605">
        <w:rPr>
          <w:szCs w:val="24"/>
        </w:rPr>
        <w:t xml:space="preserve">Ochrana práv príslušníkov menšín v rámci </w:t>
      </w:r>
      <w:r w:rsidR="00C804AC">
        <w:rPr>
          <w:szCs w:val="24"/>
        </w:rPr>
        <w:t>Organizácie S</w:t>
      </w:r>
      <w:r w:rsidR="00787F26" w:rsidRPr="00B47605">
        <w:rPr>
          <w:szCs w:val="24"/>
        </w:rPr>
        <w:t>pojených národov II</w:t>
      </w:r>
      <w:r w:rsidR="00787F26">
        <w:rPr>
          <w:szCs w:val="24"/>
        </w:rPr>
        <w:t>I (</w:t>
      </w:r>
      <w:r w:rsidR="00787F26" w:rsidRPr="00B47605">
        <w:rPr>
          <w:szCs w:val="24"/>
        </w:rPr>
        <w:t>Deklarácia o právach osôb patriacich k národnostným, etnickým, nábožensk</w:t>
      </w:r>
      <w:r w:rsidR="00787F26">
        <w:rPr>
          <w:szCs w:val="24"/>
        </w:rPr>
        <w:t xml:space="preserve">ým a jazykovým menšinám (1992). </w:t>
      </w:r>
      <w:r w:rsidR="00787F26" w:rsidRPr="00B47605">
        <w:rPr>
          <w:szCs w:val="24"/>
        </w:rPr>
        <w:t>Ochrana práv príslušníkov menšín v rámci Rady Európy I (Všeobecný prehľad, Európsky dohovor o ochrane ľudských práv a základných slobôd (1950)</w:t>
      </w:r>
      <w:r w:rsidR="00787F26">
        <w:rPr>
          <w:szCs w:val="24"/>
        </w:rPr>
        <w:t>.</w:t>
      </w:r>
      <w:r w:rsidR="00787F26" w:rsidRPr="00B47605">
        <w:rPr>
          <w:szCs w:val="24"/>
        </w:rPr>
        <w:t xml:space="preserve"> </w:t>
      </w:r>
      <w:r w:rsidR="00787F26">
        <w:rPr>
          <w:szCs w:val="24"/>
        </w:rPr>
        <w:t xml:space="preserve">Prípadová štúdia </w:t>
      </w:r>
      <w:r w:rsidR="00787F26" w:rsidRPr="00B47605">
        <w:rPr>
          <w:szCs w:val="24"/>
        </w:rPr>
        <w:t>v oblasti práv príslušníkov menš</w:t>
      </w:r>
      <w:r w:rsidR="004173BE">
        <w:rPr>
          <w:szCs w:val="24"/>
        </w:rPr>
        <w:t xml:space="preserve">ín Výboru OSN pre ľudské práva - </w:t>
      </w:r>
      <w:r w:rsidR="00787F26" w:rsidRPr="00B47605">
        <w:rPr>
          <w:szCs w:val="24"/>
        </w:rPr>
        <w:t xml:space="preserve">prípad </w:t>
      </w:r>
      <w:r w:rsidR="00787F26" w:rsidRPr="00B47605">
        <w:rPr>
          <w:i/>
          <w:szCs w:val="24"/>
        </w:rPr>
        <w:t xml:space="preserve">Sandra </w:t>
      </w:r>
      <w:proofErr w:type="spellStart"/>
      <w:r w:rsidR="00787F26" w:rsidRPr="00B47605">
        <w:rPr>
          <w:i/>
          <w:szCs w:val="24"/>
        </w:rPr>
        <w:t>Lovelace</w:t>
      </w:r>
      <w:proofErr w:type="spellEnd"/>
      <w:r w:rsidR="00787F26" w:rsidRPr="00B47605">
        <w:rPr>
          <w:i/>
          <w:szCs w:val="24"/>
        </w:rPr>
        <w:t xml:space="preserve"> proti Kanade (1981)</w:t>
      </w:r>
      <w:r w:rsidR="00787F26">
        <w:rPr>
          <w:i/>
          <w:szCs w:val="24"/>
        </w:rPr>
        <w:t>.</w:t>
      </w:r>
      <w:r w:rsidR="0005690A">
        <w:rPr>
          <w:szCs w:val="24"/>
        </w:rPr>
        <w:t xml:space="preserve"> Prípadová štúdia </w:t>
      </w:r>
      <w:r w:rsidR="0005690A" w:rsidRPr="00B47605">
        <w:rPr>
          <w:szCs w:val="24"/>
        </w:rPr>
        <w:t xml:space="preserve">v oblasti práv príslušníkov menšín Európskeho súdu pre ľudské práva – prípad </w:t>
      </w:r>
      <w:proofErr w:type="spellStart"/>
      <w:r w:rsidR="0005690A" w:rsidRPr="00B47605">
        <w:rPr>
          <w:i/>
          <w:szCs w:val="24"/>
        </w:rPr>
        <w:t>Sidiropulos</w:t>
      </w:r>
      <w:proofErr w:type="spellEnd"/>
      <w:r w:rsidR="0005690A" w:rsidRPr="00B47605">
        <w:rPr>
          <w:i/>
          <w:szCs w:val="24"/>
        </w:rPr>
        <w:t xml:space="preserve"> a iní proti Grécku </w:t>
      </w:r>
      <w:r w:rsidR="0005690A" w:rsidRPr="0005690A">
        <w:rPr>
          <w:szCs w:val="24"/>
        </w:rPr>
        <w:t>(1998).</w:t>
      </w:r>
      <w:r w:rsidR="0005690A">
        <w:rPr>
          <w:szCs w:val="24"/>
        </w:rPr>
        <w:t xml:space="preserve"> </w:t>
      </w:r>
    </w:p>
    <w:p w:rsidR="001F5DFD" w:rsidRPr="009E6E7B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1F5DFD" w:rsidRPr="00B47605">
        <w:rPr>
          <w:szCs w:val="24"/>
        </w:rPr>
        <w:t>. Ochrana práv príslušníkov menšín v rámci Rady Európy I</w:t>
      </w:r>
      <w:r w:rsidR="00787F26">
        <w:rPr>
          <w:szCs w:val="24"/>
        </w:rPr>
        <w:t>I</w:t>
      </w:r>
      <w:r w:rsidR="001F5DFD" w:rsidRPr="00B47605">
        <w:rPr>
          <w:szCs w:val="24"/>
        </w:rPr>
        <w:t xml:space="preserve"> </w:t>
      </w:r>
      <w:r w:rsidR="00787F26">
        <w:rPr>
          <w:szCs w:val="24"/>
        </w:rPr>
        <w:t>(</w:t>
      </w:r>
      <w:r w:rsidR="00787F26" w:rsidRPr="00B47605">
        <w:rPr>
          <w:szCs w:val="24"/>
        </w:rPr>
        <w:t>Európska charta regionálnych a menšinových jazykov (1992), Rámcový dohovor o ochra</w:t>
      </w:r>
      <w:r w:rsidR="0005690A">
        <w:rPr>
          <w:szCs w:val="24"/>
        </w:rPr>
        <w:t>ne národnostných menšín (1995),</w:t>
      </w:r>
      <w:r w:rsidR="00787F26">
        <w:rPr>
          <w:szCs w:val="24"/>
        </w:rPr>
        <w:t xml:space="preserve"> </w:t>
      </w:r>
      <w:r w:rsidR="0005690A">
        <w:rPr>
          <w:szCs w:val="24"/>
        </w:rPr>
        <w:t>o</w:t>
      </w:r>
      <w:r w:rsidR="0005690A" w:rsidRPr="00B47605">
        <w:rPr>
          <w:szCs w:val="24"/>
        </w:rPr>
        <w:t>chrana práv príslušníkov menšín v rámci Organizácie pre bezpečnosť a spoluprácu v</w:t>
      </w:r>
      <w:r w:rsidR="0005690A">
        <w:rPr>
          <w:szCs w:val="24"/>
        </w:rPr>
        <w:t> Európy a o</w:t>
      </w:r>
      <w:r w:rsidR="0005690A" w:rsidRPr="00B47605">
        <w:rPr>
          <w:szCs w:val="24"/>
        </w:rPr>
        <w:t>chrana práv príslušníkov m</w:t>
      </w:r>
      <w:r w:rsidR="0005690A">
        <w:rPr>
          <w:szCs w:val="24"/>
        </w:rPr>
        <w:t xml:space="preserve">enšín v rámci Európskej únie. </w:t>
      </w:r>
      <w:r>
        <w:rPr>
          <w:szCs w:val="24"/>
        </w:rPr>
        <w:t xml:space="preserve"> </w:t>
      </w:r>
    </w:p>
    <w:p w:rsidR="001F5DFD" w:rsidRPr="00B47605" w:rsidRDefault="001F5DFD" w:rsidP="001F5DFD">
      <w:pPr>
        <w:spacing w:line="240" w:lineRule="auto"/>
        <w:rPr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84388F" w:rsidRPr="00B47605" w:rsidRDefault="001820DB" w:rsidP="0084388F">
      <w:pPr>
        <w:spacing w:line="240" w:lineRule="auto"/>
        <w:rPr>
          <w:snapToGrid w:val="0"/>
          <w:szCs w:val="24"/>
        </w:rPr>
      </w:pPr>
      <w:r w:rsidRPr="00B47605">
        <w:rPr>
          <w:snapToGrid w:val="0"/>
          <w:szCs w:val="24"/>
        </w:rPr>
        <w:t xml:space="preserve">Spracoval:                                                       </w:t>
      </w:r>
      <w:r w:rsidR="00754F2A" w:rsidRPr="00B47605">
        <w:rPr>
          <w:snapToGrid w:val="0"/>
          <w:szCs w:val="24"/>
        </w:rPr>
        <w:t xml:space="preserve">                         </w:t>
      </w:r>
      <w:r w:rsidR="00754F2A" w:rsidRPr="00B47605">
        <w:rPr>
          <w:b/>
          <w:snapToGrid w:val="0"/>
          <w:szCs w:val="24"/>
        </w:rPr>
        <w:t>doc.</w:t>
      </w:r>
      <w:r w:rsidR="00754F2A" w:rsidRPr="00B47605">
        <w:rPr>
          <w:snapToGrid w:val="0"/>
          <w:szCs w:val="24"/>
        </w:rPr>
        <w:t xml:space="preserve"> </w:t>
      </w:r>
      <w:r w:rsidRPr="00B47605">
        <w:rPr>
          <w:b/>
          <w:snapToGrid w:val="0"/>
          <w:szCs w:val="24"/>
        </w:rPr>
        <w:t>JUDr. Juraj Jankuv, PhD.</w:t>
      </w:r>
    </w:p>
    <w:sectPr w:rsidR="0084388F" w:rsidRPr="00B4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75" w:rsidRDefault="00B34075">
      <w:r>
        <w:separator/>
      </w:r>
    </w:p>
  </w:endnote>
  <w:endnote w:type="continuationSeparator" w:id="0">
    <w:p w:rsidR="00B34075" w:rsidRDefault="00B3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75" w:rsidRDefault="00B34075">
      <w:r>
        <w:separator/>
      </w:r>
    </w:p>
  </w:footnote>
  <w:footnote w:type="continuationSeparator" w:id="0">
    <w:p w:rsidR="00B34075" w:rsidRDefault="00B3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A7E"/>
    <w:multiLevelType w:val="hybridMultilevel"/>
    <w:tmpl w:val="DD72F71A"/>
    <w:lvl w:ilvl="0" w:tplc="5116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208F6"/>
    <w:multiLevelType w:val="multilevel"/>
    <w:tmpl w:val="5080D0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12B7464"/>
    <w:multiLevelType w:val="hybridMultilevel"/>
    <w:tmpl w:val="1FB6C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F"/>
    <w:rsid w:val="00034C2C"/>
    <w:rsid w:val="0005690A"/>
    <w:rsid w:val="00057E84"/>
    <w:rsid w:val="000D1FBC"/>
    <w:rsid w:val="000E419A"/>
    <w:rsid w:val="000F0535"/>
    <w:rsid w:val="000F6A01"/>
    <w:rsid w:val="000F6CBA"/>
    <w:rsid w:val="0012253B"/>
    <w:rsid w:val="001345C1"/>
    <w:rsid w:val="001820DB"/>
    <w:rsid w:val="001F5DFD"/>
    <w:rsid w:val="002E7549"/>
    <w:rsid w:val="002F713B"/>
    <w:rsid w:val="00330F8C"/>
    <w:rsid w:val="003649F3"/>
    <w:rsid w:val="00383616"/>
    <w:rsid w:val="004173BE"/>
    <w:rsid w:val="00433C62"/>
    <w:rsid w:val="004602E0"/>
    <w:rsid w:val="00464442"/>
    <w:rsid w:val="00466F92"/>
    <w:rsid w:val="00537D05"/>
    <w:rsid w:val="00546025"/>
    <w:rsid w:val="005840F5"/>
    <w:rsid w:val="005A2145"/>
    <w:rsid w:val="005B32F7"/>
    <w:rsid w:val="00605E57"/>
    <w:rsid w:val="00635654"/>
    <w:rsid w:val="00641C04"/>
    <w:rsid w:val="006B0D48"/>
    <w:rsid w:val="006F3DF9"/>
    <w:rsid w:val="00701939"/>
    <w:rsid w:val="00701A84"/>
    <w:rsid w:val="007432C0"/>
    <w:rsid w:val="00754F2A"/>
    <w:rsid w:val="0075649D"/>
    <w:rsid w:val="00787F26"/>
    <w:rsid w:val="007E47D9"/>
    <w:rsid w:val="0083265F"/>
    <w:rsid w:val="0084388F"/>
    <w:rsid w:val="008469DE"/>
    <w:rsid w:val="008A4202"/>
    <w:rsid w:val="009A7AD1"/>
    <w:rsid w:val="009E6E7B"/>
    <w:rsid w:val="00A56DC9"/>
    <w:rsid w:val="00A7579B"/>
    <w:rsid w:val="00AF4A71"/>
    <w:rsid w:val="00B21D5C"/>
    <w:rsid w:val="00B34075"/>
    <w:rsid w:val="00B47605"/>
    <w:rsid w:val="00B5685B"/>
    <w:rsid w:val="00BA6A01"/>
    <w:rsid w:val="00BB0BCF"/>
    <w:rsid w:val="00BC191E"/>
    <w:rsid w:val="00BD138F"/>
    <w:rsid w:val="00C640AC"/>
    <w:rsid w:val="00C804AC"/>
    <w:rsid w:val="00C870E3"/>
    <w:rsid w:val="00D165E8"/>
    <w:rsid w:val="00D47CEB"/>
    <w:rsid w:val="00DA5AE1"/>
    <w:rsid w:val="00E20747"/>
    <w:rsid w:val="00E4248A"/>
    <w:rsid w:val="00E64127"/>
    <w:rsid w:val="00EF3A21"/>
    <w:rsid w:val="00F06E99"/>
    <w:rsid w:val="00F3634E"/>
    <w:rsid w:val="00F83AE3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0D8FDC"/>
  <w15:chartTrackingRefBased/>
  <w15:docId w15:val="{73704A24-44FC-40FA-A552-7C5E166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E64127"/>
    <w:pPr>
      <w:keepNext/>
      <w:numPr>
        <w:numId w:val="1"/>
      </w:numPr>
      <w:spacing w:line="240" w:lineRule="auto"/>
      <w:outlineLvl w:val="0"/>
    </w:pPr>
    <w:rPr>
      <w:rFonts w:ascii="Arial" w:hAnsi="Arial"/>
      <w:b/>
      <w:caps/>
      <w:spacing w:val="40"/>
      <w:sz w:val="28"/>
      <w:lang w:eastAsia="sk-SK"/>
    </w:rPr>
  </w:style>
  <w:style w:type="paragraph" w:styleId="Nadpis2">
    <w:name w:val="heading 2"/>
    <w:basedOn w:val="Normlny"/>
    <w:next w:val="Normlny"/>
    <w:qFormat/>
    <w:rsid w:val="00E64127"/>
    <w:pPr>
      <w:numPr>
        <w:ilvl w:val="1"/>
        <w:numId w:val="1"/>
      </w:numPr>
      <w:spacing w:line="240" w:lineRule="auto"/>
      <w:outlineLvl w:val="1"/>
    </w:pPr>
    <w:rPr>
      <w:rFonts w:ascii="Arial" w:hAnsi="Arial"/>
      <w:b/>
      <w:spacing w:val="40"/>
      <w:lang w:eastAsia="sk-SK"/>
    </w:rPr>
  </w:style>
  <w:style w:type="paragraph" w:styleId="Nadpis3">
    <w:name w:val="heading 3"/>
    <w:basedOn w:val="Normlny"/>
    <w:next w:val="Normlny"/>
    <w:qFormat/>
    <w:rsid w:val="00E64127"/>
    <w:pPr>
      <w:keepNext/>
      <w:numPr>
        <w:ilvl w:val="2"/>
        <w:numId w:val="1"/>
      </w:numPr>
      <w:spacing w:line="240" w:lineRule="auto"/>
      <w:outlineLvl w:val="2"/>
    </w:pPr>
    <w:rPr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mkypodiarouChar">
    <w:name w:val="Text poznámky pod čiarou Char"/>
    <w:link w:val="Textpoznmkypodiarou"/>
    <w:rsid w:val="0084388F"/>
    <w:rPr>
      <w:rFonts w:ascii="Calibri" w:eastAsia="Calibri" w:hAnsi="Calibri"/>
      <w:lang w:val="sk-SK" w:eastAsia="en-US" w:bidi="ar-SA"/>
    </w:rPr>
  </w:style>
  <w:style w:type="character" w:styleId="Odkaznapoznmkupodiarou">
    <w:name w:val="footnote reference"/>
    <w:semiHidden/>
    <w:unhideWhenUsed/>
    <w:rsid w:val="0084388F"/>
    <w:rPr>
      <w:vertAlign w:val="superscript"/>
    </w:rPr>
  </w:style>
  <w:style w:type="paragraph" w:styleId="Zkladntext">
    <w:name w:val="Body Text"/>
    <w:basedOn w:val="Normlny"/>
    <w:rsid w:val="00E64127"/>
    <w:pPr>
      <w:spacing w:line="240" w:lineRule="auto"/>
      <w:ind w:firstLine="70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Jankuv Juraj</cp:lastModifiedBy>
  <cp:revision>2</cp:revision>
  <cp:lastPrinted>2008-09-29T10:12:00Z</cp:lastPrinted>
  <dcterms:created xsi:type="dcterms:W3CDTF">2019-06-25T04:59:00Z</dcterms:created>
  <dcterms:modified xsi:type="dcterms:W3CDTF">2019-06-25T04:59:00Z</dcterms:modified>
</cp:coreProperties>
</file>