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58"/>
        <w:gridCol w:w="1717"/>
        <w:gridCol w:w="784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6A4B59"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6A4B5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6A4B59"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6A4B5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6A4B59"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05DBD16" w:rsidR="00FF6B5A" w:rsidRPr="004358A8" w:rsidRDefault="006A4B59"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6A4B59"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1BF857B8"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6A4B59">
              <w:t xml:space="preserve">Pracovné </w:t>
            </w:r>
            <w:r w:rsidR="006E5B37">
              <w:t>právo</w:t>
            </w:r>
            <w:r>
              <w:t>, 3. stupeň</w:t>
            </w:r>
            <w:r w:rsidR="00865C01">
              <w:t>/ HIK</w:t>
            </w:r>
            <w:r w:rsidR="006A4B59">
              <w:t xml:space="preserve"> Pracovné </w:t>
            </w:r>
            <w:r w:rsidR="006E5B37">
              <w:t>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6A4B59">
              <w:t>Labour</w:t>
            </w:r>
            <w:proofErr w:type="spellEnd"/>
            <w:r w:rsidR="0085075E">
              <w:t xml:space="preserve"> </w:t>
            </w:r>
            <w:proofErr w:type="spellStart"/>
            <w:r w:rsidR="0085075E">
              <w:t>Law</w:t>
            </w:r>
            <w:proofErr w:type="spellEnd"/>
            <w:r>
              <w:t>"</w:t>
            </w:r>
            <w:r w:rsidR="00865C01">
              <w:t>/</w:t>
            </w:r>
            <w:r w:rsidR="006872F9">
              <w:t xml:space="preserve"> HIK </w:t>
            </w:r>
            <w:proofErr w:type="spellStart"/>
            <w:r w:rsidR="006A4B59">
              <w:t>Labour</w:t>
            </w:r>
            <w:proofErr w:type="spellEnd"/>
            <w:r w:rsidR="006A4B59">
              <w:t xml:space="preserve"> </w:t>
            </w:r>
            <w:proofErr w:type="spellStart"/>
            <w:r w:rsidR="006872F9">
              <w:t>Law</w:t>
            </w:r>
            <w:proofErr w:type="spellEnd"/>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sidRPr="001B5DD9">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6A4B59"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659A820D"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D25C4E">
              <w:rPr>
                <w:rFonts w:ascii="Calibri" w:eastAsia="Times New Roman" w:hAnsi="Calibri" w:cs="Times New Roman"/>
                <w:color w:val="000000"/>
                <w:lang w:eastAsia="sk-SK"/>
              </w:rPr>
              <w:t>0</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6A4B5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133F1D5E" w:rsidR="00273FED" w:rsidRPr="00D25C4E" w:rsidRDefault="00D25C4E" w:rsidP="00D25C4E">
            <w:pPr>
              <w:rPr>
                <w:rFonts w:eastAsia="Times New Roman" w:cstheme="minorHAnsi"/>
                <w:b/>
                <w:bCs/>
                <w:sz w:val="24"/>
                <w:szCs w:val="24"/>
                <w:lang w:eastAsia="sk-SK"/>
              </w:rPr>
            </w:pPr>
            <w:r w:rsidRPr="00D25C4E">
              <w:rPr>
                <w:rFonts w:eastAsia="Times New Roman" w:cstheme="minorHAnsi"/>
                <w:b/>
                <w:bCs/>
                <w:sz w:val="24"/>
                <w:szCs w:val="24"/>
                <w:lang w:eastAsia="sk-SK"/>
              </w:rPr>
              <w:t xml:space="preserve">ID: </w:t>
            </w:r>
            <w:r w:rsidRPr="00D25C4E">
              <w:rPr>
                <w:rFonts w:eastAsia="Times New Roman" w:cstheme="minorHAnsi"/>
                <w:bCs/>
                <w:sz w:val="24"/>
                <w:szCs w:val="24"/>
                <w:lang w:eastAsia="sk-SK"/>
              </w:rPr>
              <w:t xml:space="preserve">436898. </w:t>
            </w:r>
            <w:proofErr w:type="spellStart"/>
            <w:r w:rsidRPr="00D25C4E">
              <w:rPr>
                <w:rFonts w:eastAsia="Times New Roman" w:cstheme="minorHAnsi"/>
                <w:bCs/>
                <w:sz w:val="24"/>
                <w:szCs w:val="24"/>
                <w:lang w:eastAsia="sk-SK"/>
              </w:rPr>
              <w:t>Prohibition</w:t>
            </w:r>
            <w:proofErr w:type="spellEnd"/>
            <w:r w:rsidRPr="00D25C4E">
              <w:rPr>
                <w:rFonts w:eastAsia="Times New Roman" w:cstheme="minorHAnsi"/>
                <w:bCs/>
                <w:sz w:val="24"/>
                <w:szCs w:val="24"/>
                <w:lang w:eastAsia="sk-SK"/>
              </w:rPr>
              <w:t xml:space="preserve"> of </w:t>
            </w:r>
            <w:proofErr w:type="spellStart"/>
            <w:r w:rsidRPr="00D25C4E">
              <w:rPr>
                <w:rFonts w:eastAsia="Times New Roman" w:cstheme="minorHAnsi"/>
                <w:bCs/>
                <w:sz w:val="24"/>
                <w:szCs w:val="24"/>
                <w:lang w:eastAsia="sk-SK"/>
              </w:rPr>
              <w:t>discriminatory</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taxation</w:t>
            </w:r>
            <w:proofErr w:type="spellEnd"/>
            <w:r w:rsidRPr="00D25C4E">
              <w:rPr>
                <w:rFonts w:eastAsia="Times New Roman" w:cstheme="minorHAnsi"/>
                <w:bCs/>
                <w:sz w:val="24"/>
                <w:szCs w:val="24"/>
                <w:lang w:eastAsia="sk-SK"/>
              </w:rPr>
              <w:t xml:space="preserve"> in </w:t>
            </w:r>
            <w:proofErr w:type="spellStart"/>
            <w:r w:rsidRPr="00D25C4E">
              <w:rPr>
                <w:rFonts w:eastAsia="Times New Roman" w:cstheme="minorHAnsi"/>
                <w:bCs/>
                <w:sz w:val="24"/>
                <w:szCs w:val="24"/>
                <w:lang w:eastAsia="sk-SK"/>
              </w:rPr>
              <w:t>European</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union</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law</w:t>
            </w:r>
            <w:proofErr w:type="spellEnd"/>
            <w:r w:rsidRPr="00D25C4E">
              <w:rPr>
                <w:rFonts w:eastAsia="Times New Roman" w:cstheme="minorHAnsi"/>
                <w:bCs/>
                <w:sz w:val="24"/>
                <w:szCs w:val="24"/>
                <w:lang w:eastAsia="sk-SK"/>
              </w:rPr>
              <w:t xml:space="preserve"> / Varga, Peter [Autor, 100%]. In: </w:t>
            </w:r>
            <w:proofErr w:type="spellStart"/>
            <w:r w:rsidRPr="00D25C4E">
              <w:rPr>
                <w:rFonts w:eastAsia="Times New Roman" w:cstheme="minorHAnsi"/>
                <w:bCs/>
                <w:sz w:val="24"/>
                <w:szCs w:val="24"/>
                <w:lang w:eastAsia="sk-SK"/>
              </w:rPr>
              <w:t>Bezpieczeństwo</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prawne</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państwa</w:t>
            </w:r>
            <w:proofErr w:type="spellEnd"/>
            <w:r w:rsidRPr="00D25C4E">
              <w:rPr>
                <w:rFonts w:eastAsia="Times New Roman" w:cstheme="minorHAnsi"/>
                <w:bCs/>
                <w:sz w:val="24"/>
                <w:szCs w:val="24"/>
                <w:lang w:eastAsia="sk-SK"/>
              </w:rPr>
              <w:t xml:space="preserve"> i </w:t>
            </w:r>
            <w:proofErr w:type="spellStart"/>
            <w:r w:rsidRPr="00D25C4E">
              <w:rPr>
                <w:rFonts w:eastAsia="Times New Roman" w:cstheme="minorHAnsi"/>
                <w:bCs/>
                <w:sz w:val="24"/>
                <w:szCs w:val="24"/>
                <w:lang w:eastAsia="sk-SK"/>
              </w:rPr>
              <w:t>podatnika</w:t>
            </w:r>
            <w:proofErr w:type="spellEnd"/>
            <w:r w:rsidRPr="00D25C4E">
              <w:rPr>
                <w:rFonts w:eastAsia="Times New Roman" w:cstheme="minorHAnsi"/>
                <w:bCs/>
                <w:sz w:val="24"/>
                <w:szCs w:val="24"/>
                <w:lang w:eastAsia="sk-SK"/>
              </w:rPr>
              <w:t xml:space="preserve"> a </w:t>
            </w:r>
            <w:proofErr w:type="spellStart"/>
            <w:r w:rsidRPr="00D25C4E">
              <w:rPr>
                <w:rFonts w:eastAsia="Times New Roman" w:cstheme="minorHAnsi"/>
                <w:bCs/>
                <w:sz w:val="24"/>
                <w:szCs w:val="24"/>
                <w:lang w:eastAsia="sk-SK"/>
              </w:rPr>
              <w:t>sprawiedliwy</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system</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podatkowy</w:t>
            </w:r>
            <w:proofErr w:type="spellEnd"/>
            <w:r w:rsidRPr="00D25C4E">
              <w:rPr>
                <w:rFonts w:eastAsia="Times New Roman" w:cstheme="minorHAnsi"/>
                <w:bCs/>
                <w:sz w:val="24"/>
                <w:szCs w:val="24"/>
                <w:lang w:eastAsia="sk-SK"/>
              </w:rPr>
              <w:t xml:space="preserve"> [textový dokument (</w:t>
            </w:r>
            <w:proofErr w:type="spellStart"/>
            <w:r w:rsidRPr="00D25C4E">
              <w:rPr>
                <w:rFonts w:eastAsia="Times New Roman" w:cstheme="minorHAnsi"/>
                <w:bCs/>
                <w:sz w:val="24"/>
                <w:szCs w:val="24"/>
                <w:lang w:eastAsia="sk-SK"/>
              </w:rPr>
              <w:t>print</w:t>
            </w:r>
            <w:proofErr w:type="spellEnd"/>
            <w:r w:rsidRPr="00D25C4E">
              <w:rPr>
                <w:rFonts w:eastAsia="Times New Roman" w:cstheme="minorHAnsi"/>
                <w:bCs/>
                <w:sz w:val="24"/>
                <w:szCs w:val="24"/>
                <w:lang w:eastAsia="sk-SK"/>
              </w:rPr>
              <w:t xml:space="preserve">)] / </w:t>
            </w:r>
            <w:proofErr w:type="spellStart"/>
            <w:r w:rsidRPr="00D25C4E">
              <w:rPr>
                <w:rFonts w:eastAsia="Times New Roman" w:cstheme="minorHAnsi"/>
                <w:bCs/>
                <w:sz w:val="24"/>
                <w:szCs w:val="24"/>
                <w:lang w:eastAsia="sk-SK"/>
              </w:rPr>
              <w:t>Sitarz</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Mirosław</w:t>
            </w:r>
            <w:proofErr w:type="spellEnd"/>
            <w:r w:rsidRPr="00D25C4E">
              <w:rPr>
                <w:rFonts w:eastAsia="Times New Roman" w:cstheme="minorHAnsi"/>
                <w:bCs/>
                <w:sz w:val="24"/>
                <w:szCs w:val="24"/>
                <w:lang w:eastAsia="sk-SK"/>
              </w:rPr>
              <w:t xml:space="preserve"> [Zostavovateľ, editor] ; </w:t>
            </w:r>
            <w:proofErr w:type="spellStart"/>
            <w:r w:rsidRPr="00D25C4E">
              <w:rPr>
                <w:rFonts w:eastAsia="Times New Roman" w:cstheme="minorHAnsi"/>
                <w:bCs/>
                <w:sz w:val="24"/>
                <w:szCs w:val="24"/>
                <w:lang w:eastAsia="sk-SK"/>
              </w:rPr>
              <w:t>Krukowski</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Józef</w:t>
            </w:r>
            <w:proofErr w:type="spellEnd"/>
            <w:r w:rsidRPr="00D25C4E">
              <w:rPr>
                <w:rFonts w:eastAsia="Times New Roman" w:cstheme="minorHAnsi"/>
                <w:bCs/>
                <w:sz w:val="24"/>
                <w:szCs w:val="24"/>
                <w:lang w:eastAsia="sk-SK"/>
              </w:rPr>
              <w:t xml:space="preserve"> [Zostavovateľ, editor] ; Romanko, </w:t>
            </w:r>
            <w:proofErr w:type="spellStart"/>
            <w:r w:rsidRPr="00D25C4E">
              <w:rPr>
                <w:rFonts w:eastAsia="Times New Roman" w:cstheme="minorHAnsi"/>
                <w:bCs/>
                <w:sz w:val="24"/>
                <w:szCs w:val="24"/>
                <w:lang w:eastAsia="sk-SK"/>
              </w:rPr>
              <w:t>Agnieszka</w:t>
            </w:r>
            <w:proofErr w:type="spellEnd"/>
            <w:r w:rsidRPr="00D25C4E">
              <w:rPr>
                <w:rFonts w:eastAsia="Times New Roman" w:cstheme="minorHAnsi"/>
                <w:bCs/>
                <w:sz w:val="24"/>
                <w:szCs w:val="24"/>
                <w:lang w:eastAsia="sk-SK"/>
              </w:rPr>
              <w:t xml:space="preserve"> [Zostavovateľ, editor] ; </w:t>
            </w:r>
            <w:proofErr w:type="spellStart"/>
            <w:r w:rsidRPr="00D25C4E">
              <w:rPr>
                <w:rFonts w:eastAsia="Times New Roman" w:cstheme="minorHAnsi"/>
                <w:bCs/>
                <w:sz w:val="24"/>
                <w:szCs w:val="24"/>
                <w:lang w:eastAsia="sk-SK"/>
              </w:rPr>
              <w:t>Sitek</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Magdalena</w:t>
            </w:r>
            <w:proofErr w:type="spellEnd"/>
            <w:r w:rsidRPr="00D25C4E">
              <w:rPr>
                <w:rFonts w:eastAsia="Times New Roman" w:cstheme="minorHAnsi"/>
                <w:bCs/>
                <w:sz w:val="24"/>
                <w:szCs w:val="24"/>
                <w:lang w:eastAsia="sk-SK"/>
              </w:rPr>
              <w:t xml:space="preserve"> [Recenzent] ; </w:t>
            </w:r>
            <w:proofErr w:type="spellStart"/>
            <w:r w:rsidRPr="00D25C4E">
              <w:rPr>
                <w:rFonts w:eastAsia="Times New Roman" w:cstheme="minorHAnsi"/>
                <w:bCs/>
                <w:sz w:val="24"/>
                <w:szCs w:val="24"/>
                <w:lang w:eastAsia="sk-SK"/>
              </w:rPr>
              <w:t>Smoleń</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Paweł</w:t>
            </w:r>
            <w:proofErr w:type="spellEnd"/>
            <w:r w:rsidRPr="00D25C4E">
              <w:rPr>
                <w:rFonts w:eastAsia="Times New Roman" w:cstheme="minorHAnsi"/>
                <w:bCs/>
                <w:sz w:val="24"/>
                <w:szCs w:val="24"/>
                <w:lang w:eastAsia="sk-SK"/>
              </w:rPr>
              <w:t xml:space="preserve"> [Recenzent]. – 1. vyd. – </w:t>
            </w:r>
            <w:proofErr w:type="spellStart"/>
            <w:r w:rsidRPr="00D25C4E">
              <w:rPr>
                <w:rFonts w:eastAsia="Times New Roman" w:cstheme="minorHAnsi"/>
                <w:bCs/>
                <w:sz w:val="24"/>
                <w:szCs w:val="24"/>
                <w:lang w:eastAsia="sk-SK"/>
              </w:rPr>
              <w:t>Lublin</w:t>
            </w:r>
            <w:proofErr w:type="spellEnd"/>
            <w:r w:rsidRPr="00D25C4E">
              <w:rPr>
                <w:rFonts w:eastAsia="Times New Roman" w:cstheme="minorHAnsi"/>
                <w:bCs/>
                <w:sz w:val="24"/>
                <w:szCs w:val="24"/>
                <w:lang w:eastAsia="sk-SK"/>
              </w:rPr>
              <w:t xml:space="preserve"> (Poľsko) : </w:t>
            </w:r>
            <w:proofErr w:type="spellStart"/>
            <w:r w:rsidRPr="00D25C4E">
              <w:rPr>
                <w:rFonts w:eastAsia="Times New Roman" w:cstheme="minorHAnsi"/>
                <w:bCs/>
                <w:sz w:val="24"/>
                <w:szCs w:val="24"/>
                <w:lang w:eastAsia="sk-SK"/>
              </w:rPr>
              <w:t>Stowarzyszenia</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Absolwentów</w:t>
            </w:r>
            <w:proofErr w:type="spellEnd"/>
            <w:r w:rsidRPr="00D25C4E">
              <w:rPr>
                <w:rFonts w:eastAsia="Times New Roman" w:cstheme="minorHAnsi"/>
                <w:bCs/>
                <w:sz w:val="24"/>
                <w:szCs w:val="24"/>
                <w:lang w:eastAsia="sk-SK"/>
              </w:rPr>
              <w:t xml:space="preserve"> i </w:t>
            </w:r>
            <w:proofErr w:type="spellStart"/>
            <w:r w:rsidRPr="00D25C4E">
              <w:rPr>
                <w:rFonts w:eastAsia="Times New Roman" w:cstheme="minorHAnsi"/>
                <w:bCs/>
                <w:sz w:val="24"/>
                <w:szCs w:val="24"/>
                <w:lang w:eastAsia="sk-SK"/>
              </w:rPr>
              <w:t>Przyjaciól</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Wydzialu</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Prawa</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Katolickiego</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Uniwersytetu</w:t>
            </w:r>
            <w:proofErr w:type="spellEnd"/>
            <w:r w:rsidRPr="00D25C4E">
              <w:rPr>
                <w:rFonts w:eastAsia="Times New Roman" w:cstheme="minorHAnsi"/>
                <w:bCs/>
                <w:sz w:val="24"/>
                <w:szCs w:val="24"/>
                <w:lang w:eastAsia="sk-SK"/>
              </w:rPr>
              <w:t xml:space="preserve"> </w:t>
            </w:r>
            <w:proofErr w:type="spellStart"/>
            <w:r w:rsidRPr="00D25C4E">
              <w:rPr>
                <w:rFonts w:eastAsia="Times New Roman" w:cstheme="minorHAnsi"/>
                <w:bCs/>
                <w:sz w:val="24"/>
                <w:szCs w:val="24"/>
                <w:lang w:eastAsia="sk-SK"/>
              </w:rPr>
              <w:t>Lubelskiego</w:t>
            </w:r>
            <w:proofErr w:type="spellEnd"/>
            <w:r w:rsidRPr="00D25C4E">
              <w:rPr>
                <w:rFonts w:eastAsia="Times New Roman" w:cstheme="minorHAnsi"/>
                <w:bCs/>
                <w:sz w:val="24"/>
                <w:szCs w:val="24"/>
                <w:lang w:eastAsia="sk-SK"/>
              </w:rPr>
              <w:t>, 2020. – ISBN 978-83-959518-6-2, s. 211-224</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6A4B5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8C92EC9" w14:textId="09A51120" w:rsidR="00FF6B5A" w:rsidRPr="00FF6B5A" w:rsidRDefault="006A4B59" w:rsidP="004A606B">
            <w:pPr>
              <w:rPr>
                <w:rFonts w:ascii="Calibri" w:eastAsia="Times New Roman" w:hAnsi="Calibri" w:cs="Times New Roman"/>
                <w:color w:val="000000"/>
                <w:lang w:eastAsia="sk-SK"/>
              </w:rPr>
            </w:pPr>
            <w:hyperlink r:id="rId20" w:tgtFrame="_blank" w:history="1">
              <w:r w:rsidR="00BB2890">
                <w:rPr>
                  <w:rStyle w:val="Hypertextovprepojenie"/>
                  <w:rFonts w:ascii="Helvetica" w:hAnsi="Helvetica" w:cs="Helvetica"/>
                  <w:color w:val="2F1713"/>
                  <w:sz w:val="20"/>
                  <w:szCs w:val="20"/>
                  <w:shd w:val="clear" w:color="auto" w:fill="F5F5F5"/>
                </w:rPr>
                <w:t>https://app.crepc.sk/?fn=detailBiblioForm&amp;sid=EC5BF5141667F4973AC2DABE7B</w:t>
              </w:r>
            </w:hyperlink>
            <w:r w:rsidR="00BB2890">
              <w:t xml:space="preserve"> </w:t>
            </w:r>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6A4B59"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w:t>
              </w:r>
              <w:r w:rsidR="00FF6B5A" w:rsidRPr="00FF6B5A">
                <w:rPr>
                  <w:rFonts w:ascii="Calibri" w:eastAsia="Times New Roman" w:hAnsi="Calibri" w:cs="Times New Roman"/>
                  <w:lang w:eastAsia="sk-SK"/>
                </w:rPr>
                <w:lastRenderedPageBreak/>
                <w:t xml:space="preserve">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25580294" w:rsidR="00FF6B5A" w:rsidRPr="00FF6B5A" w:rsidRDefault="006A4B59" w:rsidP="00FF6B5A">
            <w:pPr>
              <w:spacing w:after="0" w:line="240" w:lineRule="auto"/>
              <w:rPr>
                <w:rFonts w:ascii="Calibri" w:eastAsia="Times New Roman" w:hAnsi="Calibri" w:cs="Times New Roman"/>
                <w:color w:val="000000"/>
                <w:lang w:eastAsia="sk-SK"/>
              </w:rPr>
            </w:pPr>
            <w:hyperlink r:id="rId22" w:history="1">
              <w:r w:rsidR="00BB2890" w:rsidRPr="00CF5395">
                <w:rPr>
                  <w:rStyle w:val="Hypertextovprepojenie"/>
                  <w:rFonts w:ascii="Calibri" w:eastAsia="Times New Roman" w:hAnsi="Calibri" w:cs="Times New Roman"/>
                  <w:lang w:eastAsia="sk-SK"/>
                </w:rPr>
                <w:t>https://ojs.academicon.pl/tkppan/article/view/5867/6130</w:t>
              </w:r>
            </w:hyperlink>
            <w:r w:rsidR="00BB2890">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6A4B59"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6A4B59"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00EE547B" w14:textId="1F87AD7A"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BB2890" w:rsidRPr="00BB2890">
              <w:rPr>
                <w:rFonts w:ascii="Calibri" w:eastAsia="Times New Roman" w:hAnsi="Calibri" w:cs="Times New Roman"/>
                <w:color w:val="000000"/>
                <w:lang w:eastAsia="sk-SK"/>
              </w:rPr>
              <w:t>v</w:t>
            </w:r>
            <w:r w:rsidR="00BB2890">
              <w:rPr>
                <w:rFonts w:ascii="Calibri" w:eastAsia="Times New Roman" w:hAnsi="Calibri" w:cs="Times New Roman"/>
                <w:color w:val="000000"/>
                <w:lang w:eastAsia="sk-SK"/>
              </w:rPr>
              <w:t>oľný pohyb tovaru ako nevyhnutnú</w:t>
            </w:r>
            <w:r w:rsidR="00BB2890" w:rsidRPr="00BB2890">
              <w:rPr>
                <w:rFonts w:ascii="Calibri" w:eastAsia="Times New Roman" w:hAnsi="Calibri" w:cs="Times New Roman"/>
                <w:color w:val="000000"/>
                <w:lang w:eastAsia="sk-SK"/>
              </w:rPr>
              <w:t xml:space="preserve"> súčasť fungovania vnútorného trhu. Jeho efektívne fungovanie by bolo nemožné, ak by bol </w:t>
            </w:r>
            <w:r w:rsidR="00F577D3">
              <w:rPr>
                <w:rFonts w:ascii="Calibri" w:eastAsia="Times New Roman" w:hAnsi="Calibri" w:cs="Times New Roman"/>
                <w:color w:val="000000"/>
                <w:lang w:eastAsia="sk-SK"/>
              </w:rPr>
              <w:t xml:space="preserve">možný </w:t>
            </w:r>
            <w:r w:rsidR="00BB2890" w:rsidRPr="00BB2890">
              <w:rPr>
                <w:rFonts w:ascii="Calibri" w:eastAsia="Times New Roman" w:hAnsi="Calibri" w:cs="Times New Roman"/>
                <w:color w:val="000000"/>
                <w:lang w:eastAsia="sk-SK"/>
              </w:rPr>
              <w:t xml:space="preserve">zákaz diskriminácie na základe štátnej príslušnosti. Všeobecný zákaz diskriminácie stanovený v čl. 18 ZFEÚ sa uplatňuje aj v oblasti vnútorného trhu, vrátane voľného pohybu tovaru alebo zákazu diskriminačného zdaňovania. Hlavná časť článku je venovaná rozdielu medzi zákazom poplatkov s rovnocenným účinkom (články 34 a 35 ZFEÚ) a zákazom diskriminačného vnútroštátneho zdaňovania (článok 110 ZFEÚ). Ďalšie analýzy sa zameriavajú na článok 110 ZFEÚ a dve situácie, ktoré zahŕňa: diskriminácia podobných zahraničných produktov (článok 110 ods. 1 ZFEÚ); diskriminácia konkurenčných zahraničných výrobkov (článok 110 ods. 2 ZFEÚ). Súdny dvor </w:t>
            </w:r>
            <w:r w:rsidR="00F577D3">
              <w:rPr>
                <w:rFonts w:ascii="Calibri" w:eastAsia="Times New Roman" w:hAnsi="Calibri" w:cs="Times New Roman"/>
                <w:color w:val="000000"/>
                <w:lang w:eastAsia="sk-SK"/>
              </w:rPr>
              <w:t xml:space="preserve">EÚ </w:t>
            </w:r>
            <w:r w:rsidR="00BB2890" w:rsidRPr="00BB2890">
              <w:rPr>
                <w:rFonts w:ascii="Calibri" w:eastAsia="Times New Roman" w:hAnsi="Calibri" w:cs="Times New Roman"/>
                <w:color w:val="000000"/>
                <w:lang w:eastAsia="sk-SK"/>
              </w:rPr>
              <w:t xml:space="preserve">rozlišuje medzi tovarmi, ktoré sú podobné, a tovarmi, ktoré si konkurujú. Z judikatúry je zrejmé, že Súdny dvor oba odseky článku 110 ZFEÚ </w:t>
            </w:r>
            <w:r w:rsidR="00F577D3">
              <w:rPr>
                <w:rFonts w:ascii="Calibri" w:eastAsia="Times New Roman" w:hAnsi="Calibri" w:cs="Times New Roman"/>
                <w:color w:val="000000"/>
                <w:lang w:eastAsia="sk-SK"/>
              </w:rPr>
              <w:t>vykladá spoločne</w:t>
            </w:r>
            <w:r w:rsidR="00BB2890" w:rsidRPr="00BB2890">
              <w:rPr>
                <w:rFonts w:ascii="Calibri" w:eastAsia="Times New Roman" w:hAnsi="Calibri" w:cs="Times New Roman"/>
                <w:color w:val="000000"/>
                <w:lang w:eastAsia="sk-SK"/>
              </w:rPr>
              <w:t>. Môže sa stať, že Súd</w:t>
            </w:r>
            <w:r w:rsidR="00F577D3">
              <w:rPr>
                <w:rFonts w:ascii="Calibri" w:eastAsia="Times New Roman" w:hAnsi="Calibri" w:cs="Times New Roman"/>
                <w:color w:val="000000"/>
                <w:lang w:eastAsia="sk-SK"/>
              </w:rPr>
              <w:t xml:space="preserve">ny dvor </w:t>
            </w:r>
            <w:r w:rsidR="00BB2890" w:rsidRPr="00BB2890">
              <w:rPr>
                <w:rFonts w:ascii="Calibri" w:eastAsia="Times New Roman" w:hAnsi="Calibri" w:cs="Times New Roman"/>
                <w:color w:val="000000"/>
                <w:lang w:eastAsia="sk-SK"/>
              </w:rPr>
              <w:t>nebude považovať výrobky za podobné v zmysle čl. 110 ods. 1 ZFEÚ, ale tieto výrobky možno stále považovať za výrobky v čiastočnej konkurencii v zmysle čl. 110 ods. 2 ZFEÚ</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04D55854" w14:textId="0A035CA5" w:rsidR="00BB2890" w:rsidRDefault="00387CE6" w:rsidP="00273FED">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BB2890">
              <w:rPr>
                <w:rFonts w:ascii="Calibri" w:eastAsia="Times New Roman" w:hAnsi="Calibri" w:cs="Times New Roman"/>
                <w:i/>
                <w:color w:val="000000"/>
                <w:lang w:val="en-GB" w:eastAsia="sk-SK"/>
              </w:rPr>
              <w:t xml:space="preserve"> the f</w:t>
            </w:r>
            <w:r w:rsidR="00BB2890" w:rsidRPr="00BB2890">
              <w:rPr>
                <w:rFonts w:ascii="Calibri" w:eastAsia="Times New Roman" w:hAnsi="Calibri" w:cs="Times New Roman"/>
                <w:i/>
                <w:color w:val="000000"/>
                <w:lang w:val="en-GB" w:eastAsia="sk-SK"/>
              </w:rPr>
              <w:t xml:space="preserve">ree movement of goods </w:t>
            </w:r>
            <w:r w:rsidR="00BB2890">
              <w:rPr>
                <w:rFonts w:ascii="Calibri" w:eastAsia="Times New Roman" w:hAnsi="Calibri" w:cs="Times New Roman"/>
                <w:i/>
                <w:color w:val="000000"/>
                <w:lang w:val="en-GB" w:eastAsia="sk-SK"/>
              </w:rPr>
              <w:t>a</w:t>
            </w:r>
            <w:r w:rsidR="00BB2890" w:rsidRPr="00BB2890">
              <w:rPr>
                <w:rFonts w:ascii="Calibri" w:eastAsia="Times New Roman" w:hAnsi="Calibri" w:cs="Times New Roman"/>
                <w:i/>
                <w:color w:val="000000"/>
                <w:lang w:val="en-GB" w:eastAsia="sk-SK"/>
              </w:rPr>
              <w:t xml:space="preserve">s essential part of internal market functioning. Its effective functioning would be impossible if the prohibition of discrimination based on nationality would be legal. The general prohibition of discrimination stipulated in Art.18 TFEU is applied also in the area of internal market, including the free movement of goods or prohibition of discriminatory taxation. The main focus of the article is dedicated to the difference between prohibition of charges having equivalent effect (Art.34 and 35 TFEU) and prohibition of discriminatory internal taxation (Art.110 TFEU). Further analyses focuses on Art.110 TFEU and the two situations it covers: discrimination against similar foreign products (Art. 110, sect. </w:t>
            </w:r>
            <w:r w:rsidR="00BB2890" w:rsidRPr="00BB2890">
              <w:rPr>
                <w:rFonts w:ascii="Calibri" w:eastAsia="Times New Roman" w:hAnsi="Calibri" w:cs="Times New Roman"/>
                <w:i/>
                <w:color w:val="000000"/>
                <w:lang w:val="en-GB" w:eastAsia="sk-SK"/>
              </w:rPr>
              <w:lastRenderedPageBreak/>
              <w:t>1 TFEU); di</w:t>
            </w:r>
            <w:r w:rsidR="00BB2890">
              <w:rPr>
                <w:rFonts w:ascii="Calibri" w:eastAsia="Times New Roman" w:hAnsi="Calibri" w:cs="Times New Roman"/>
                <w:i/>
                <w:color w:val="000000"/>
                <w:lang w:val="en-GB" w:eastAsia="sk-SK"/>
              </w:rPr>
              <w:t>scrimination against com</w:t>
            </w:r>
            <w:r w:rsidR="00BB2890" w:rsidRPr="00BB2890">
              <w:rPr>
                <w:rFonts w:ascii="Calibri" w:eastAsia="Times New Roman" w:hAnsi="Calibri" w:cs="Times New Roman"/>
                <w:i/>
                <w:color w:val="000000"/>
                <w:lang w:val="en-GB" w:eastAsia="sk-SK"/>
              </w:rPr>
              <w:t>peting foreign products (Art. 110, sect. 2 TFEU).The Court of Justice makes difference between those goods that are similar and those goods that are in competition. From the cases law it is clear that the Court of Justice adopted a globalized approach to Art.110 TFEU considering both paragraphs of Art.110 TFEU together. It may happen that the Court considers the products not to be similar  within  the  meaning</w:t>
            </w:r>
            <w:r w:rsidR="00BB2890">
              <w:rPr>
                <w:rFonts w:ascii="Calibri" w:eastAsia="Times New Roman" w:hAnsi="Calibri" w:cs="Times New Roman"/>
                <w:i/>
                <w:color w:val="000000"/>
                <w:lang w:val="en-GB" w:eastAsia="sk-SK"/>
              </w:rPr>
              <w:t xml:space="preserve"> </w:t>
            </w:r>
            <w:r w:rsidR="00BB2890" w:rsidRPr="00BB2890">
              <w:rPr>
                <w:rFonts w:ascii="Calibri" w:eastAsia="Times New Roman" w:hAnsi="Calibri" w:cs="Times New Roman"/>
                <w:i/>
                <w:color w:val="000000"/>
                <w:lang w:val="en-GB" w:eastAsia="sk-SK"/>
              </w:rPr>
              <w:t>of  Art.110,  sect. 1  TFEU, but  these  products  still  may be  regarded  as being in partial competition within the meaning of Art.110, sect. 2 TFEU</w:t>
            </w:r>
            <w:r w:rsidR="00BB2890">
              <w:rPr>
                <w:rFonts w:ascii="Calibri" w:eastAsia="Times New Roman" w:hAnsi="Calibri" w:cs="Times New Roman"/>
                <w:i/>
                <w:color w:val="000000"/>
                <w:lang w:val="en-GB" w:eastAsia="sk-SK"/>
              </w:rPr>
              <w:t>.</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6A4B59"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94C86A7" w14:textId="35C1B9D6" w:rsidR="00422600" w:rsidRPr="00FF6B5A" w:rsidRDefault="00273FED" w:rsidP="000C6D3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B5F9358" w14:textId="36FA0260" w:rsidR="00210794" w:rsidRDefault="005D6234" w:rsidP="009B4C1D">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sidR="009B4C1D">
              <w:rPr>
                <w:rFonts w:ascii="Calibri" w:eastAsia="Times New Roman" w:hAnsi="Calibri" w:cs="Times New Roman"/>
                <w:color w:val="000000"/>
                <w:lang w:eastAsia="sk-SK"/>
              </w:rPr>
              <w:t>pre rozvoj odbornej a vedeckej diskusie k problematike zákazu diskriminácie na základe štátnej príslušnosti v kontexte vnútorného trhu a voľného pohybu tovaru v rámci Európskej únie. Ke</w:t>
            </w:r>
            <w:r w:rsidR="00210794">
              <w:rPr>
                <w:rFonts w:ascii="Calibri" w:eastAsia="Times New Roman" w:hAnsi="Calibri" w:cs="Times New Roman"/>
                <w:color w:val="000000"/>
                <w:lang w:eastAsia="sk-SK"/>
              </w:rPr>
              <w:t xml:space="preserve">ďže príspevok sa týka práva EÚ a analyzuje zákaz diskriminačného zdaňovania podľa článku 110 ZFEÚ, konkrétne </w:t>
            </w:r>
            <w:r w:rsidR="00210794" w:rsidRPr="00210794">
              <w:rPr>
                <w:rStyle w:val="apple-converted-space"/>
                <w:rFonts w:ascii="Calibri" w:hAnsi="Calibri" w:cs="Calibri"/>
                <w:color w:val="000000"/>
              </w:rPr>
              <w:t>diskrimináci</w:t>
            </w:r>
            <w:r w:rsidR="00210794">
              <w:rPr>
                <w:rStyle w:val="apple-converted-space"/>
                <w:rFonts w:ascii="Calibri" w:hAnsi="Calibri" w:cs="Calibri"/>
                <w:color w:val="000000"/>
              </w:rPr>
              <w:t>u</w:t>
            </w:r>
            <w:r w:rsidR="00210794" w:rsidRPr="00210794">
              <w:rPr>
                <w:rStyle w:val="apple-converted-space"/>
                <w:rFonts w:ascii="Calibri" w:hAnsi="Calibri" w:cs="Calibri"/>
                <w:color w:val="000000"/>
              </w:rPr>
              <w:t xml:space="preserve"> podobných zahraničných produktov (článok 110 ods. 1 ZFEÚ)</w:t>
            </w:r>
            <w:r w:rsidR="00210794">
              <w:rPr>
                <w:rStyle w:val="apple-converted-space"/>
                <w:rFonts w:ascii="Calibri" w:hAnsi="Calibri" w:cs="Calibri"/>
                <w:color w:val="000000"/>
              </w:rPr>
              <w:t xml:space="preserve"> a </w:t>
            </w:r>
            <w:r w:rsidR="00210794" w:rsidRPr="00210794">
              <w:rPr>
                <w:rStyle w:val="apple-converted-space"/>
                <w:rFonts w:ascii="Calibri" w:hAnsi="Calibri" w:cs="Calibri"/>
                <w:color w:val="000000"/>
              </w:rPr>
              <w:t>diskrimináci</w:t>
            </w:r>
            <w:r w:rsidR="00210794">
              <w:rPr>
                <w:rStyle w:val="apple-converted-space"/>
                <w:rFonts w:ascii="Calibri" w:hAnsi="Calibri" w:cs="Calibri"/>
                <w:color w:val="000000"/>
              </w:rPr>
              <w:t>u</w:t>
            </w:r>
            <w:r w:rsidR="00210794" w:rsidRPr="00210794">
              <w:rPr>
                <w:rStyle w:val="apple-converted-space"/>
                <w:rFonts w:ascii="Calibri" w:hAnsi="Calibri" w:cs="Calibri"/>
                <w:color w:val="000000"/>
              </w:rPr>
              <w:t xml:space="preserve"> konkurenčných zahraničných výrobkov (článok 110 ods. 2 ZFEÚ).</w:t>
            </w:r>
            <w:r w:rsidR="00210794">
              <w:rPr>
                <w:rStyle w:val="apple-converted-space"/>
                <w:rFonts w:ascii="Calibri" w:hAnsi="Calibri" w:cs="Calibri"/>
                <w:color w:val="000000"/>
              </w:rPr>
              <w:t xml:space="preserve"> Analyzuje relevantnú judikatúru Súdneho dvora EÚ, ktorú je možné aplikovať v praxi pri posudzovaní opatrení, ktoré majú za cieľ obmedzenie obchodu medzi členskými štátmi EÚ.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2526FBE4" w:rsidR="0074791C" w:rsidRPr="00FF6B5A" w:rsidRDefault="00A050E2" w:rsidP="00210794">
            <w:pPr>
              <w:spacing w:after="0"/>
              <w:jc w:val="both"/>
              <w:rPr>
                <w:rFonts w:ascii="Calibri" w:eastAsia="Times New Roman" w:hAnsi="Calibri" w:cs="Times New Roman"/>
                <w:color w:val="000000"/>
                <w:lang w:eastAsia="sk-SK"/>
              </w:rPr>
            </w:pPr>
            <w:r w:rsidRPr="00A050E2">
              <w:rPr>
                <w:rFonts w:ascii="Calibri" w:eastAsia="Times New Roman" w:hAnsi="Calibri" w:cs="Times New Roman"/>
                <w:i/>
                <w:iCs/>
                <w:color w:val="000000"/>
                <w:lang w:val="en-US" w:eastAsia="sk-SK"/>
              </w:rPr>
              <w:t xml:space="preserve">The output represents a </w:t>
            </w:r>
            <w:r w:rsidR="00210794" w:rsidRPr="00210794">
              <w:rPr>
                <w:rFonts w:ascii="Calibri" w:eastAsia="Times New Roman" w:hAnsi="Calibri" w:cs="Times New Roman"/>
                <w:i/>
                <w:iCs/>
                <w:color w:val="000000"/>
                <w:lang w:val="en-US" w:eastAsia="sk-SK"/>
              </w:rPr>
              <w:t xml:space="preserve">contribution to the development of professional and scientific discussion on the issue of the prohibition of discrimination based on nationality in the context of the internal market and the free movement of goods within the European Union. As the contribution concerns EU law and analyzes the prohibition of discriminatory taxation under Article 110 TFEU, specifically discrimination against similar foreign products (Article 110(1) TFEU) and discrimination against competing foreign products (Article 110(2) TFEU). </w:t>
            </w:r>
            <w:r w:rsidR="00210794">
              <w:rPr>
                <w:rFonts w:ascii="Calibri" w:eastAsia="Times New Roman" w:hAnsi="Calibri" w:cs="Times New Roman"/>
                <w:i/>
                <w:iCs/>
                <w:color w:val="000000"/>
                <w:lang w:val="en-US" w:eastAsia="sk-SK"/>
              </w:rPr>
              <w:t>It a</w:t>
            </w:r>
            <w:r w:rsidR="00210794" w:rsidRPr="00210794">
              <w:rPr>
                <w:rFonts w:ascii="Calibri" w:eastAsia="Times New Roman" w:hAnsi="Calibri" w:cs="Times New Roman"/>
                <w:i/>
                <w:iCs/>
                <w:color w:val="000000"/>
                <w:lang w:val="en-US" w:eastAsia="sk-SK"/>
              </w:rPr>
              <w:t>nalyzes relevant jurisprudence of the Court of Justice of the EU, which can be applied in practice when assessing measures aimed at restricting trade between EU member states</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shd w:val="clear" w:color="auto" w:fill="auto"/>
            <w:vAlign w:val="bottom"/>
            <w:hideMark/>
          </w:tcPr>
          <w:p w14:paraId="1D0E0359" w14:textId="7CA47B98"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B3E47CC" w14:textId="258D3AC8" w:rsidR="004173E3" w:rsidRDefault="009B4C1D"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zaoberá právom vnútorného trhu a voľného pohybu tovaru.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sidR="00BC1C0D">
              <w:rPr>
                <w:rFonts w:ascii="Calibri" w:eastAsia="Times New Roman" w:hAnsi="Calibri" w:cs="Times New Roman"/>
                <w:color w:val="000000"/>
                <w:lang w:eastAsia="sk-SK"/>
              </w:rPr>
              <w:t>zákazu diskriminačného zdaňovania a jeho rozporu s právom EÚ. Výstup môže slúžiť</w:t>
            </w:r>
            <w:r w:rsidR="004173E3" w:rsidRPr="004173E3">
              <w:rPr>
                <w:rFonts w:ascii="Calibri" w:eastAsia="Times New Roman" w:hAnsi="Calibri" w:cs="Times New Roman"/>
                <w:color w:val="000000"/>
                <w:lang w:eastAsia="sk-SK"/>
              </w:rPr>
              <w:t xml:space="preserve">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A89C4B1" w14:textId="15D7291F" w:rsidR="0007449E" w:rsidRPr="00BC1C0D" w:rsidRDefault="00BC1C0D" w:rsidP="0007449E">
            <w:pPr>
              <w:spacing w:after="0"/>
              <w:jc w:val="both"/>
              <w:rPr>
                <w:rFonts w:ascii="Calibri" w:eastAsia="Times New Roman" w:hAnsi="Calibri" w:cs="Times New Roman"/>
                <w:i/>
                <w:color w:val="000000"/>
                <w:lang w:val="en-GB" w:eastAsia="sk-SK"/>
              </w:rPr>
            </w:pPr>
            <w:r w:rsidRPr="00BC1C0D">
              <w:rPr>
                <w:rFonts w:ascii="Calibri" w:eastAsia="Times New Roman" w:hAnsi="Calibri" w:cs="Times New Roman"/>
                <w:i/>
                <w:color w:val="000000"/>
                <w:lang w:val="en-GB" w:eastAsia="sk-SK"/>
              </w:rPr>
              <w:t>From the content point of view, the output falls under the law of the European Union, specifically it deals with the law of the internal market and the free movement of goods. The output can be used as part of the educational process for a deeper investigation of the prohibition of discriminatory taxation and its contradiction with EU law. The output can be used mainly for writing final theses in the first and second degree of study, but also for research in the third degree of study</w:t>
            </w:r>
            <w:r w:rsidR="004576F5" w:rsidRPr="004576F5">
              <w:rPr>
                <w:rFonts w:ascii="Calibri" w:eastAsia="Times New Roman" w:hAnsi="Calibri" w:cs="Times New Roman"/>
                <w:i/>
                <w:color w:val="000000"/>
                <w:lang w:val="en-GB" w:eastAsia="sk-SK"/>
              </w:rPr>
              <w:t>.</w:t>
            </w: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FF32" w14:textId="77777777" w:rsidR="00123526" w:rsidRDefault="00123526" w:rsidP="00816E73">
      <w:pPr>
        <w:spacing w:after="0" w:line="240" w:lineRule="auto"/>
      </w:pPr>
      <w:r>
        <w:separator/>
      </w:r>
    </w:p>
  </w:endnote>
  <w:endnote w:type="continuationSeparator" w:id="0">
    <w:p w14:paraId="05C08962" w14:textId="77777777" w:rsidR="00123526" w:rsidRDefault="0012352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D74B" w14:textId="77777777" w:rsidR="00123526" w:rsidRDefault="00123526" w:rsidP="00816E73">
      <w:pPr>
        <w:spacing w:after="0" w:line="240" w:lineRule="auto"/>
      </w:pPr>
      <w:r>
        <w:separator/>
      </w:r>
    </w:p>
  </w:footnote>
  <w:footnote w:type="continuationSeparator" w:id="0">
    <w:p w14:paraId="33C8CD69" w14:textId="77777777" w:rsidR="00123526" w:rsidRDefault="00123526"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7382B"/>
    <w:rsid w:val="0007449E"/>
    <w:rsid w:val="0008088C"/>
    <w:rsid w:val="00087B3E"/>
    <w:rsid w:val="000B788E"/>
    <w:rsid w:val="000C6D33"/>
    <w:rsid w:val="000D1F22"/>
    <w:rsid w:val="000E773A"/>
    <w:rsid w:val="00102D82"/>
    <w:rsid w:val="00112F47"/>
    <w:rsid w:val="001155E0"/>
    <w:rsid w:val="00123526"/>
    <w:rsid w:val="00125CFA"/>
    <w:rsid w:val="001A42DD"/>
    <w:rsid w:val="001B3D63"/>
    <w:rsid w:val="001B5DD9"/>
    <w:rsid w:val="001D03F4"/>
    <w:rsid w:val="001F26CD"/>
    <w:rsid w:val="00204921"/>
    <w:rsid w:val="00210794"/>
    <w:rsid w:val="00222794"/>
    <w:rsid w:val="00242C6E"/>
    <w:rsid w:val="00273FED"/>
    <w:rsid w:val="00274D46"/>
    <w:rsid w:val="002E6FE9"/>
    <w:rsid w:val="002F7FB5"/>
    <w:rsid w:val="00317E93"/>
    <w:rsid w:val="003345F2"/>
    <w:rsid w:val="00387CE6"/>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32FE9"/>
    <w:rsid w:val="005517AF"/>
    <w:rsid w:val="00553060"/>
    <w:rsid w:val="00572798"/>
    <w:rsid w:val="005D0E03"/>
    <w:rsid w:val="005D6234"/>
    <w:rsid w:val="00675F63"/>
    <w:rsid w:val="006849EB"/>
    <w:rsid w:val="006872F9"/>
    <w:rsid w:val="006A4B59"/>
    <w:rsid w:val="006E5B37"/>
    <w:rsid w:val="006F694B"/>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613D7"/>
    <w:rsid w:val="00975300"/>
    <w:rsid w:val="00980601"/>
    <w:rsid w:val="009A5365"/>
    <w:rsid w:val="009B4C1D"/>
    <w:rsid w:val="009F31E5"/>
    <w:rsid w:val="00A050E2"/>
    <w:rsid w:val="00A10B6E"/>
    <w:rsid w:val="00A23768"/>
    <w:rsid w:val="00A44E1E"/>
    <w:rsid w:val="00A44F05"/>
    <w:rsid w:val="00AA78C3"/>
    <w:rsid w:val="00AF5EF9"/>
    <w:rsid w:val="00B15040"/>
    <w:rsid w:val="00B34A5D"/>
    <w:rsid w:val="00BA1526"/>
    <w:rsid w:val="00BB2890"/>
    <w:rsid w:val="00BC1C0D"/>
    <w:rsid w:val="00BF314A"/>
    <w:rsid w:val="00C16FE2"/>
    <w:rsid w:val="00C40D4D"/>
    <w:rsid w:val="00C44CB8"/>
    <w:rsid w:val="00C520F6"/>
    <w:rsid w:val="00C86832"/>
    <w:rsid w:val="00CB598B"/>
    <w:rsid w:val="00CF0730"/>
    <w:rsid w:val="00D25C4E"/>
    <w:rsid w:val="00D64B7C"/>
    <w:rsid w:val="00D733AB"/>
    <w:rsid w:val="00D81D79"/>
    <w:rsid w:val="00DA3A7D"/>
    <w:rsid w:val="00DB2AED"/>
    <w:rsid w:val="00DC4C52"/>
    <w:rsid w:val="00DD0483"/>
    <w:rsid w:val="00DF77E6"/>
    <w:rsid w:val="00E8454F"/>
    <w:rsid w:val="00EC403D"/>
    <w:rsid w:val="00EC4DA2"/>
    <w:rsid w:val="00ED492A"/>
    <w:rsid w:val="00F165AB"/>
    <w:rsid w:val="00F577D3"/>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50D92E"/>
  <w15:docId w15:val="{8846416B-3255-4081-98DC-FF66BB8C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694454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5">
          <w:marLeft w:val="0"/>
          <w:marRight w:val="0"/>
          <w:marTop w:val="0"/>
          <w:marBottom w:val="0"/>
          <w:divBdr>
            <w:top w:val="none" w:sz="0" w:space="0" w:color="auto"/>
            <w:left w:val="none" w:sz="0" w:space="0" w:color="auto"/>
            <w:bottom w:val="none" w:sz="0" w:space="0" w:color="auto"/>
            <w:right w:val="none" w:sz="0" w:space="0" w:color="auto"/>
          </w:divBdr>
          <w:divsChild>
            <w:div w:id="1815289913">
              <w:marLeft w:val="0"/>
              <w:marRight w:val="0"/>
              <w:marTop w:val="0"/>
              <w:marBottom w:val="0"/>
              <w:divBdr>
                <w:top w:val="none" w:sz="0" w:space="0" w:color="auto"/>
                <w:left w:val="none" w:sz="0" w:space="0" w:color="auto"/>
                <w:bottom w:val="none" w:sz="0" w:space="0" w:color="auto"/>
                <w:right w:val="none" w:sz="0" w:space="0" w:color="auto"/>
              </w:divBdr>
            </w:div>
          </w:divsChild>
        </w:div>
        <w:div w:id="1772897167">
          <w:marLeft w:val="0"/>
          <w:marRight w:val="0"/>
          <w:marTop w:val="0"/>
          <w:marBottom w:val="0"/>
          <w:divBdr>
            <w:top w:val="none" w:sz="0" w:space="0" w:color="auto"/>
            <w:left w:val="none" w:sz="0" w:space="0" w:color="auto"/>
            <w:bottom w:val="none" w:sz="0" w:space="0" w:color="auto"/>
            <w:right w:val="none" w:sz="0" w:space="0" w:color="auto"/>
          </w:divBdr>
          <w:divsChild>
            <w:div w:id="1773745375">
              <w:marLeft w:val="0"/>
              <w:marRight w:val="0"/>
              <w:marTop w:val="0"/>
              <w:marBottom w:val="0"/>
              <w:divBdr>
                <w:top w:val="none" w:sz="0" w:space="0" w:color="auto"/>
                <w:left w:val="none" w:sz="0" w:space="0" w:color="auto"/>
                <w:bottom w:val="none" w:sz="0" w:space="0" w:color="auto"/>
                <w:right w:val="none" w:sz="0" w:space="0" w:color="auto"/>
              </w:divBdr>
            </w:div>
          </w:divsChild>
        </w:div>
        <w:div w:id="545874064">
          <w:marLeft w:val="-225"/>
          <w:marRight w:val="-225"/>
          <w:marTop w:val="0"/>
          <w:marBottom w:val="0"/>
          <w:divBdr>
            <w:top w:val="none" w:sz="0" w:space="0" w:color="auto"/>
            <w:left w:val="none" w:sz="0" w:space="0" w:color="auto"/>
            <w:bottom w:val="none" w:sz="0" w:space="0" w:color="auto"/>
            <w:right w:val="none" w:sz="0" w:space="0" w:color="auto"/>
          </w:divBdr>
          <w:divsChild>
            <w:div w:id="1589269080">
              <w:marLeft w:val="0"/>
              <w:marRight w:val="0"/>
              <w:marTop w:val="0"/>
              <w:marBottom w:val="0"/>
              <w:divBdr>
                <w:top w:val="none" w:sz="0" w:space="0" w:color="auto"/>
                <w:left w:val="none" w:sz="0" w:space="0" w:color="auto"/>
                <w:bottom w:val="none" w:sz="0" w:space="0" w:color="auto"/>
                <w:right w:val="none" w:sz="0" w:space="0" w:color="auto"/>
              </w:divBdr>
            </w:div>
          </w:divsChild>
        </w:div>
        <w:div w:id="750007061">
          <w:marLeft w:val="-225"/>
          <w:marRight w:val="-225"/>
          <w:marTop w:val="0"/>
          <w:marBottom w:val="0"/>
          <w:divBdr>
            <w:top w:val="none" w:sz="0" w:space="0" w:color="auto"/>
            <w:left w:val="none" w:sz="0" w:space="0" w:color="auto"/>
            <w:bottom w:val="none" w:sz="0" w:space="0" w:color="auto"/>
            <w:right w:val="none" w:sz="0" w:space="0" w:color="auto"/>
          </w:divBdr>
          <w:divsChild>
            <w:div w:id="91512753">
              <w:marLeft w:val="0"/>
              <w:marRight w:val="0"/>
              <w:marTop w:val="0"/>
              <w:marBottom w:val="0"/>
              <w:divBdr>
                <w:top w:val="none" w:sz="0" w:space="0" w:color="auto"/>
                <w:left w:val="none" w:sz="0" w:space="0" w:color="auto"/>
                <w:bottom w:val="none" w:sz="0" w:space="0" w:color="auto"/>
                <w:right w:val="none" w:sz="0" w:space="0" w:color="auto"/>
              </w:divBdr>
              <w:divsChild>
                <w:div w:id="2838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504860">
          <w:marLeft w:val="0"/>
          <w:marRight w:val="0"/>
          <w:marTop w:val="0"/>
          <w:marBottom w:val="0"/>
          <w:divBdr>
            <w:top w:val="none" w:sz="0" w:space="0" w:color="auto"/>
            <w:left w:val="none" w:sz="0" w:space="0" w:color="auto"/>
            <w:bottom w:val="none" w:sz="0" w:space="0" w:color="auto"/>
            <w:right w:val="none" w:sz="0" w:space="0" w:color="auto"/>
          </w:divBdr>
          <w:divsChild>
            <w:div w:id="1287850710">
              <w:marLeft w:val="0"/>
              <w:marRight w:val="0"/>
              <w:marTop w:val="0"/>
              <w:marBottom w:val="0"/>
              <w:divBdr>
                <w:top w:val="none" w:sz="0" w:space="0" w:color="auto"/>
                <w:left w:val="none" w:sz="0" w:space="0" w:color="auto"/>
                <w:bottom w:val="none" w:sz="0" w:space="0" w:color="auto"/>
                <w:right w:val="none" w:sz="0" w:space="0" w:color="auto"/>
              </w:divBdr>
              <w:divsChild>
                <w:div w:id="1563982835">
                  <w:marLeft w:val="0"/>
                  <w:marRight w:val="0"/>
                  <w:marTop w:val="0"/>
                  <w:marBottom w:val="0"/>
                  <w:divBdr>
                    <w:top w:val="none" w:sz="0" w:space="0" w:color="auto"/>
                    <w:left w:val="none" w:sz="0" w:space="0" w:color="auto"/>
                    <w:bottom w:val="none" w:sz="0" w:space="0" w:color="auto"/>
                    <w:right w:val="none" w:sz="0" w:space="0" w:color="auto"/>
                  </w:divBdr>
                  <w:divsChild>
                    <w:div w:id="1986279169">
                      <w:marLeft w:val="-225"/>
                      <w:marRight w:val="-225"/>
                      <w:marTop w:val="0"/>
                      <w:marBottom w:val="0"/>
                      <w:divBdr>
                        <w:top w:val="none" w:sz="0" w:space="0" w:color="auto"/>
                        <w:left w:val="none" w:sz="0" w:space="0" w:color="auto"/>
                        <w:bottom w:val="none" w:sz="0" w:space="0" w:color="auto"/>
                        <w:right w:val="none" w:sz="0" w:space="0" w:color="auto"/>
                      </w:divBdr>
                      <w:divsChild>
                        <w:div w:id="689453073">
                          <w:marLeft w:val="0"/>
                          <w:marRight w:val="0"/>
                          <w:marTop w:val="0"/>
                          <w:marBottom w:val="0"/>
                          <w:divBdr>
                            <w:top w:val="none" w:sz="0" w:space="0" w:color="auto"/>
                            <w:left w:val="none" w:sz="0" w:space="0" w:color="auto"/>
                            <w:bottom w:val="none" w:sz="0" w:space="0" w:color="auto"/>
                            <w:right w:val="none" w:sz="0" w:space="0" w:color="auto"/>
                          </w:divBdr>
                          <w:divsChild>
                            <w:div w:id="108352503">
                              <w:marLeft w:val="0"/>
                              <w:marRight w:val="0"/>
                              <w:marTop w:val="0"/>
                              <w:marBottom w:val="0"/>
                              <w:divBdr>
                                <w:top w:val="none" w:sz="0" w:space="0" w:color="auto"/>
                                <w:left w:val="none" w:sz="0" w:space="0" w:color="auto"/>
                                <w:bottom w:val="none" w:sz="0" w:space="0" w:color="auto"/>
                                <w:right w:val="none" w:sz="0" w:space="0" w:color="auto"/>
                              </w:divBdr>
                              <w:divsChild>
                                <w:div w:id="1283880855">
                                  <w:marLeft w:val="0"/>
                                  <w:marRight w:val="0"/>
                                  <w:marTop w:val="0"/>
                                  <w:marBottom w:val="0"/>
                                  <w:divBdr>
                                    <w:top w:val="none" w:sz="0" w:space="0" w:color="auto"/>
                                    <w:left w:val="none" w:sz="0" w:space="0" w:color="auto"/>
                                    <w:bottom w:val="none" w:sz="0" w:space="0" w:color="auto"/>
                                    <w:right w:val="none" w:sz="0" w:space="0" w:color="auto"/>
                                  </w:divBdr>
                                </w:div>
                              </w:divsChild>
                            </w:div>
                            <w:div w:id="1756703865">
                              <w:marLeft w:val="0"/>
                              <w:marRight w:val="0"/>
                              <w:marTop w:val="0"/>
                              <w:marBottom w:val="0"/>
                              <w:divBdr>
                                <w:top w:val="none" w:sz="0" w:space="0" w:color="auto"/>
                                <w:left w:val="none" w:sz="0" w:space="0" w:color="auto"/>
                                <w:bottom w:val="none" w:sz="0" w:space="0" w:color="auto"/>
                                <w:right w:val="none" w:sz="0" w:space="0" w:color="auto"/>
                              </w:divBdr>
                              <w:divsChild>
                                <w:div w:id="512040661">
                                  <w:marLeft w:val="0"/>
                                  <w:marRight w:val="0"/>
                                  <w:marTop w:val="0"/>
                                  <w:marBottom w:val="0"/>
                                  <w:divBdr>
                                    <w:top w:val="none" w:sz="0" w:space="0" w:color="auto"/>
                                    <w:left w:val="none" w:sz="0" w:space="0" w:color="auto"/>
                                    <w:bottom w:val="none" w:sz="0" w:space="0" w:color="auto"/>
                                    <w:right w:val="none" w:sz="0" w:space="0" w:color="auto"/>
                                  </w:divBdr>
                                  <w:divsChild>
                                    <w:div w:id="1893030325">
                                      <w:marLeft w:val="0"/>
                                      <w:marRight w:val="0"/>
                                      <w:marTop w:val="0"/>
                                      <w:marBottom w:val="0"/>
                                      <w:divBdr>
                                        <w:top w:val="none" w:sz="0" w:space="0" w:color="auto"/>
                                        <w:left w:val="none" w:sz="0" w:space="0" w:color="auto"/>
                                        <w:bottom w:val="none" w:sz="0" w:space="0" w:color="auto"/>
                                        <w:right w:val="none" w:sz="0" w:space="0" w:color="auto"/>
                                      </w:divBdr>
                                      <w:divsChild>
                                        <w:div w:id="1257714341">
                                          <w:marLeft w:val="0"/>
                                          <w:marRight w:val="0"/>
                                          <w:marTop w:val="30"/>
                                          <w:marBottom w:val="0"/>
                                          <w:divBdr>
                                            <w:top w:val="none" w:sz="0" w:space="0" w:color="auto"/>
                                            <w:left w:val="none" w:sz="0" w:space="0" w:color="auto"/>
                                            <w:bottom w:val="none" w:sz="0" w:space="0" w:color="auto"/>
                                            <w:right w:val="none" w:sz="0" w:space="0" w:color="auto"/>
                                          </w:divBdr>
                                          <w:divsChild>
                                            <w:div w:id="1214075344">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6153498">
                              <w:marLeft w:val="0"/>
                              <w:marRight w:val="0"/>
                              <w:marTop w:val="0"/>
                              <w:marBottom w:val="0"/>
                              <w:divBdr>
                                <w:top w:val="none" w:sz="0" w:space="0" w:color="auto"/>
                                <w:left w:val="none" w:sz="0" w:space="0" w:color="auto"/>
                                <w:bottom w:val="none" w:sz="0" w:space="0" w:color="auto"/>
                                <w:right w:val="none" w:sz="0" w:space="0" w:color="auto"/>
                              </w:divBdr>
                              <w:divsChild>
                                <w:div w:id="2016614422">
                                  <w:marLeft w:val="0"/>
                                  <w:marRight w:val="0"/>
                                  <w:marTop w:val="0"/>
                                  <w:marBottom w:val="0"/>
                                  <w:divBdr>
                                    <w:top w:val="none" w:sz="0" w:space="0" w:color="auto"/>
                                    <w:left w:val="none" w:sz="0" w:space="0" w:color="auto"/>
                                    <w:bottom w:val="none" w:sz="0" w:space="0" w:color="auto"/>
                                    <w:right w:val="none" w:sz="0" w:space="0" w:color="auto"/>
                                  </w:divBdr>
                                  <w:divsChild>
                                    <w:div w:id="875433821">
                                      <w:marLeft w:val="0"/>
                                      <w:marRight w:val="0"/>
                                      <w:marTop w:val="0"/>
                                      <w:marBottom w:val="0"/>
                                      <w:divBdr>
                                        <w:top w:val="none" w:sz="0" w:space="0" w:color="auto"/>
                                        <w:left w:val="none" w:sz="0" w:space="0" w:color="auto"/>
                                        <w:bottom w:val="none" w:sz="0" w:space="0" w:color="auto"/>
                                        <w:right w:val="none" w:sz="0" w:space="0" w:color="auto"/>
                                      </w:divBdr>
                                      <w:divsChild>
                                        <w:div w:id="1883244616">
                                          <w:marLeft w:val="0"/>
                                          <w:marRight w:val="0"/>
                                          <w:marTop w:val="30"/>
                                          <w:marBottom w:val="0"/>
                                          <w:divBdr>
                                            <w:top w:val="none" w:sz="0" w:space="0" w:color="auto"/>
                                            <w:left w:val="none" w:sz="0" w:space="0" w:color="auto"/>
                                            <w:bottom w:val="none" w:sz="0" w:space="0" w:color="auto"/>
                                            <w:right w:val="none" w:sz="0" w:space="0" w:color="auto"/>
                                          </w:divBdr>
                                          <w:divsChild>
                                            <w:div w:id="706564364">
                                              <w:marLeft w:val="60"/>
                                              <w:marRight w:val="60"/>
                                              <w:marTop w:val="0"/>
                                              <w:marBottom w:val="75"/>
                                              <w:divBdr>
                                                <w:top w:val="none" w:sz="0" w:space="0" w:color="auto"/>
                                                <w:left w:val="none" w:sz="0" w:space="0" w:color="auto"/>
                                                <w:bottom w:val="none" w:sz="0" w:space="0" w:color="auto"/>
                                                <w:right w:val="none" w:sz="0" w:space="0" w:color="auto"/>
                                              </w:divBdr>
                                            </w:div>
                                            <w:div w:id="1641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7632">
                              <w:marLeft w:val="0"/>
                              <w:marRight w:val="0"/>
                              <w:marTop w:val="0"/>
                              <w:marBottom w:val="0"/>
                              <w:divBdr>
                                <w:top w:val="none" w:sz="0" w:space="0" w:color="auto"/>
                                <w:left w:val="none" w:sz="0" w:space="0" w:color="auto"/>
                                <w:bottom w:val="none" w:sz="0" w:space="0" w:color="auto"/>
                                <w:right w:val="none" w:sz="0" w:space="0" w:color="auto"/>
                              </w:divBdr>
                              <w:divsChild>
                                <w:div w:id="897664393">
                                  <w:marLeft w:val="0"/>
                                  <w:marRight w:val="0"/>
                                  <w:marTop w:val="0"/>
                                  <w:marBottom w:val="0"/>
                                  <w:divBdr>
                                    <w:top w:val="none" w:sz="0" w:space="0" w:color="auto"/>
                                    <w:left w:val="none" w:sz="0" w:space="0" w:color="auto"/>
                                    <w:bottom w:val="none" w:sz="0" w:space="0" w:color="auto"/>
                                    <w:right w:val="none" w:sz="0" w:space="0" w:color="auto"/>
                                  </w:divBdr>
                                  <w:divsChild>
                                    <w:div w:id="1390110819">
                                      <w:marLeft w:val="0"/>
                                      <w:marRight w:val="0"/>
                                      <w:marTop w:val="0"/>
                                      <w:marBottom w:val="0"/>
                                      <w:divBdr>
                                        <w:top w:val="none" w:sz="0" w:space="0" w:color="auto"/>
                                        <w:left w:val="none" w:sz="0" w:space="0" w:color="auto"/>
                                        <w:bottom w:val="none" w:sz="0" w:space="0" w:color="auto"/>
                                        <w:right w:val="none" w:sz="0" w:space="0" w:color="auto"/>
                                      </w:divBdr>
                                      <w:divsChild>
                                        <w:div w:id="700202848">
                                          <w:marLeft w:val="0"/>
                                          <w:marRight w:val="0"/>
                                          <w:marTop w:val="30"/>
                                          <w:marBottom w:val="0"/>
                                          <w:divBdr>
                                            <w:top w:val="none" w:sz="0" w:space="0" w:color="auto"/>
                                            <w:left w:val="none" w:sz="0" w:space="0" w:color="auto"/>
                                            <w:bottom w:val="none" w:sz="0" w:space="0" w:color="auto"/>
                                            <w:right w:val="none" w:sz="0" w:space="0" w:color="auto"/>
                                          </w:divBdr>
                                          <w:divsChild>
                                            <w:div w:id="918096070">
                                              <w:marLeft w:val="60"/>
                                              <w:marRight w:val="60"/>
                                              <w:marTop w:val="0"/>
                                              <w:marBottom w:val="75"/>
                                              <w:divBdr>
                                                <w:top w:val="none" w:sz="0" w:space="0" w:color="auto"/>
                                                <w:left w:val="none" w:sz="0" w:space="0" w:color="auto"/>
                                                <w:bottom w:val="none" w:sz="0" w:space="0" w:color="auto"/>
                                                <w:right w:val="none" w:sz="0" w:space="0" w:color="auto"/>
                                              </w:divBdr>
                                            </w:div>
                                            <w:div w:id="1745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5055">
                      <w:marLeft w:val="0"/>
                      <w:marRight w:val="0"/>
                      <w:marTop w:val="0"/>
                      <w:marBottom w:val="0"/>
                      <w:divBdr>
                        <w:top w:val="none" w:sz="0" w:space="0" w:color="auto"/>
                        <w:left w:val="none" w:sz="0" w:space="0" w:color="auto"/>
                        <w:bottom w:val="none" w:sz="0" w:space="0" w:color="auto"/>
                        <w:right w:val="none" w:sz="0" w:space="0" w:color="auto"/>
                      </w:divBdr>
                      <w:divsChild>
                        <w:div w:id="173346755">
                          <w:marLeft w:val="0"/>
                          <w:marRight w:val="0"/>
                          <w:marTop w:val="0"/>
                          <w:marBottom w:val="0"/>
                          <w:divBdr>
                            <w:top w:val="none" w:sz="0" w:space="0" w:color="auto"/>
                            <w:left w:val="none" w:sz="0" w:space="0" w:color="auto"/>
                            <w:bottom w:val="none" w:sz="0" w:space="0" w:color="auto"/>
                            <w:right w:val="none" w:sz="0" w:space="0" w:color="auto"/>
                          </w:divBdr>
                          <w:divsChild>
                            <w:div w:id="594630666">
                              <w:marLeft w:val="0"/>
                              <w:marRight w:val="0"/>
                              <w:marTop w:val="0"/>
                              <w:marBottom w:val="0"/>
                              <w:divBdr>
                                <w:top w:val="none" w:sz="0" w:space="0" w:color="auto"/>
                                <w:left w:val="none" w:sz="0" w:space="0" w:color="auto"/>
                                <w:bottom w:val="none" w:sz="0" w:space="0" w:color="auto"/>
                                <w:right w:val="none" w:sz="0" w:space="0" w:color="auto"/>
                              </w:divBdr>
                              <w:divsChild>
                                <w:div w:id="1816681579">
                                  <w:marLeft w:val="0"/>
                                  <w:marRight w:val="0"/>
                                  <w:marTop w:val="150"/>
                                  <w:marBottom w:val="150"/>
                                  <w:divBdr>
                                    <w:top w:val="single" w:sz="6" w:space="7" w:color="E3E3E3"/>
                                    <w:left w:val="none" w:sz="0" w:space="0" w:color="auto"/>
                                    <w:bottom w:val="none" w:sz="0" w:space="0" w:color="auto"/>
                                    <w:right w:val="none" w:sz="0" w:space="0" w:color="auto"/>
                                  </w:divBdr>
                                  <w:divsChild>
                                    <w:div w:id="1124190">
                                      <w:marLeft w:val="-225"/>
                                      <w:marRight w:val="-225"/>
                                      <w:marTop w:val="0"/>
                                      <w:marBottom w:val="0"/>
                                      <w:divBdr>
                                        <w:top w:val="none" w:sz="0" w:space="0" w:color="auto"/>
                                        <w:left w:val="none" w:sz="0" w:space="0" w:color="auto"/>
                                        <w:bottom w:val="none" w:sz="0" w:space="0" w:color="auto"/>
                                        <w:right w:val="none" w:sz="0" w:space="0" w:color="auto"/>
                                      </w:divBdr>
                                      <w:divsChild>
                                        <w:div w:id="1246307073">
                                          <w:marLeft w:val="0"/>
                                          <w:marRight w:val="0"/>
                                          <w:marTop w:val="0"/>
                                          <w:marBottom w:val="0"/>
                                          <w:divBdr>
                                            <w:top w:val="none" w:sz="0" w:space="0" w:color="auto"/>
                                            <w:left w:val="none" w:sz="0" w:space="0" w:color="auto"/>
                                            <w:bottom w:val="none" w:sz="0" w:space="0" w:color="auto"/>
                                            <w:right w:val="none" w:sz="0" w:space="0" w:color="auto"/>
                                          </w:divBdr>
                                        </w:div>
                                      </w:divsChild>
                                    </w:div>
                                    <w:div w:id="2096197402">
                                      <w:marLeft w:val="-225"/>
                                      <w:marRight w:val="-225"/>
                                      <w:marTop w:val="0"/>
                                      <w:marBottom w:val="0"/>
                                      <w:divBdr>
                                        <w:top w:val="none" w:sz="0" w:space="0" w:color="auto"/>
                                        <w:left w:val="none" w:sz="0" w:space="0" w:color="auto"/>
                                        <w:bottom w:val="none" w:sz="0" w:space="0" w:color="auto"/>
                                        <w:right w:val="none" w:sz="0" w:space="0" w:color="auto"/>
                                      </w:divBdr>
                                      <w:divsChild>
                                        <w:div w:id="1697388575">
                                          <w:marLeft w:val="0"/>
                                          <w:marRight w:val="0"/>
                                          <w:marTop w:val="0"/>
                                          <w:marBottom w:val="0"/>
                                          <w:divBdr>
                                            <w:top w:val="none" w:sz="0" w:space="0" w:color="auto"/>
                                            <w:left w:val="none" w:sz="0" w:space="0" w:color="auto"/>
                                            <w:bottom w:val="none" w:sz="0" w:space="0" w:color="auto"/>
                                            <w:right w:val="none" w:sz="0" w:space="0" w:color="auto"/>
                                          </w:divBdr>
                                          <w:divsChild>
                                            <w:div w:id="16315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EC5BF5141667F4973AC2DABE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ojs.academicon.pl/tkppan/article/view/5867/613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555F1B-80E1-49A0-8594-EFE80778A79C}">
  <ds:schemaRefs>
    <ds:schemaRef ds:uri="http://schemas.openxmlformats.org/officeDocument/2006/bibliography"/>
  </ds:schemaRefs>
</ds:datastoreItem>
</file>

<file path=customXml/itemProps4.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2061</Words>
  <Characters>11751</Characters>
  <Application>Microsoft Office Word</Application>
  <DocSecurity>0</DocSecurity>
  <Lines>97</Lines>
  <Paragraphs>27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6</cp:revision>
  <dcterms:created xsi:type="dcterms:W3CDTF">2023-10-26T15:42:00Z</dcterms:created>
  <dcterms:modified xsi:type="dcterms:W3CDTF">2025-08-25T11:25:00Z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