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213AD" w:rsidRDefault="00AC0385">
      <w:pPr>
        <w:pStyle w:val="Nadpis1"/>
        <w:rPr>
          <w:smallCaps w:val="0"/>
          <w:color w:val="000000"/>
          <w:sz w:val="32"/>
          <w:szCs w:val="32"/>
        </w:rPr>
      </w:pPr>
      <w:r>
        <w:rPr>
          <w:smallCaps w:val="0"/>
          <w:sz w:val="32"/>
          <w:szCs w:val="32"/>
        </w:rPr>
        <w:t>UNIVERSITAS   TYRNAVIENSIS</w:t>
      </w:r>
    </w:p>
    <w:p w14:paraId="00000002" w14:textId="77777777" w:rsidR="00F213AD" w:rsidRDefault="00B83767">
      <w:pPr>
        <w:jc w:val="center"/>
        <w:rPr>
          <w:sz w:val="16"/>
          <w:szCs w:val="16"/>
        </w:rPr>
      </w:pPr>
      <w:r>
        <w:rPr>
          <w:noProof/>
        </w:rPr>
        <w:object w:dxaOrig="900" w:dyaOrig="852" w14:anchorId="67228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pt;height:42.5pt;mso-width-percent:0;mso-height-percent:0;mso-width-percent:0;mso-height-percent:0" o:ole="" fillcolor="window">
            <v:imagedata r:id="rId4" o:title=""/>
          </v:shape>
          <o:OLEObject Type="Embed" ProgID="CorelPhotoPaint.Image.8" ShapeID="_x0000_i1025" DrawAspect="Content" ObjectID="_1801806371" r:id="rId5"/>
        </w:object>
      </w:r>
    </w:p>
    <w:p w14:paraId="00000003" w14:textId="77777777" w:rsidR="00F213AD" w:rsidRDefault="00AC03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8"/>
          <w:szCs w:val="28"/>
        </w:rPr>
      </w:pPr>
      <w:proofErr w:type="spellStart"/>
      <w:r>
        <w:rPr>
          <w:b/>
          <w:smallCaps/>
          <w:color w:val="000000"/>
          <w:sz w:val="28"/>
          <w:szCs w:val="28"/>
        </w:rPr>
        <w:t>Facultas</w:t>
      </w:r>
      <w:proofErr w:type="spellEnd"/>
      <w:r>
        <w:rPr>
          <w:b/>
          <w:smallCaps/>
          <w:color w:val="000000"/>
          <w:sz w:val="28"/>
          <w:szCs w:val="28"/>
        </w:rPr>
        <w:t xml:space="preserve">   </w:t>
      </w:r>
      <w:proofErr w:type="spellStart"/>
      <w:r>
        <w:rPr>
          <w:b/>
          <w:smallCaps/>
          <w:color w:val="000000"/>
          <w:sz w:val="28"/>
          <w:szCs w:val="28"/>
        </w:rPr>
        <w:t>Iuridica</w:t>
      </w:r>
      <w:proofErr w:type="spellEnd"/>
    </w:p>
    <w:p w14:paraId="00000004" w14:textId="77777777" w:rsidR="00F213AD" w:rsidRDefault="00AC03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Katedra medzinárodného práva a európskeho práva</w:t>
      </w:r>
    </w:p>
    <w:p w14:paraId="00000005" w14:textId="77777777" w:rsidR="00F213AD" w:rsidRDefault="00F213AD">
      <w:pPr>
        <w:spacing w:line="360" w:lineRule="auto"/>
      </w:pPr>
    </w:p>
    <w:p w14:paraId="00000006" w14:textId="45D74CBF" w:rsidR="00F213AD" w:rsidRDefault="00AC038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Trnave, </w:t>
      </w:r>
      <w:r w:rsidR="009E5370">
        <w:t>1</w:t>
      </w:r>
      <w:r>
        <w:t>2.0</w:t>
      </w:r>
      <w:r w:rsidR="009E5370">
        <w:t>2</w:t>
      </w:r>
      <w:r>
        <w:t>.202</w:t>
      </w:r>
      <w:r w:rsidR="00363D40">
        <w:t>5</w:t>
      </w:r>
    </w:p>
    <w:p w14:paraId="00000007" w14:textId="77777777" w:rsidR="00F213AD" w:rsidRDefault="00F213AD">
      <w:pPr>
        <w:pStyle w:val="Nadpis1"/>
        <w:spacing w:line="360" w:lineRule="auto"/>
        <w:jc w:val="both"/>
        <w:rPr>
          <w:smallCaps w:val="0"/>
        </w:rPr>
      </w:pPr>
    </w:p>
    <w:p w14:paraId="00000008" w14:textId="77777777" w:rsidR="00F213AD" w:rsidRDefault="00AC0385">
      <w:pPr>
        <w:pStyle w:val="Nadpis1"/>
        <w:spacing w:line="360" w:lineRule="auto"/>
        <w:rPr>
          <w:smallCaps w:val="0"/>
        </w:rPr>
      </w:pPr>
      <w:r>
        <w:rPr>
          <w:smallCaps w:val="0"/>
        </w:rPr>
        <w:t>MEDZINÁRODNÉ PRÁVO VEREJNÉ I</w:t>
      </w:r>
    </w:p>
    <w:p w14:paraId="00000009" w14:textId="46366E85" w:rsidR="00F213AD" w:rsidRDefault="00AC0385">
      <w:pPr>
        <w:spacing w:line="360" w:lineRule="auto"/>
        <w:rPr>
          <w:b/>
        </w:rPr>
      </w:pPr>
      <w:r>
        <w:rPr>
          <w:i/>
        </w:rPr>
        <w:t xml:space="preserve">                                        </w:t>
      </w:r>
      <w:r>
        <w:rPr>
          <w:b/>
        </w:rPr>
        <w:t>letný semester akademický rok 20</w:t>
      </w:r>
      <w:r w:rsidR="00363D40">
        <w:rPr>
          <w:b/>
        </w:rPr>
        <w:t>24</w:t>
      </w:r>
      <w:r>
        <w:rPr>
          <w:b/>
        </w:rPr>
        <w:t>/20</w:t>
      </w:r>
      <w:r w:rsidR="009E5370">
        <w:rPr>
          <w:b/>
        </w:rPr>
        <w:t>2</w:t>
      </w:r>
      <w:r w:rsidR="00363D40">
        <w:rPr>
          <w:b/>
        </w:rPr>
        <w:t>5</w:t>
      </w:r>
    </w:p>
    <w:p w14:paraId="0000000A" w14:textId="77777777" w:rsidR="00F213AD" w:rsidRDefault="00F213AD">
      <w:pPr>
        <w:spacing w:line="360" w:lineRule="auto"/>
      </w:pPr>
    </w:p>
    <w:p w14:paraId="0000000B" w14:textId="3AEB82EA" w:rsidR="00F213AD" w:rsidRDefault="00AC038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Tematický  plán  prednášok pre </w:t>
      </w:r>
      <w:r w:rsidR="00C3763D">
        <w:rPr>
          <w:b/>
          <w:u w:val="single"/>
        </w:rPr>
        <w:t>externé</w:t>
      </w:r>
      <w:r>
        <w:rPr>
          <w:b/>
          <w:u w:val="single"/>
        </w:rPr>
        <w:t xml:space="preserve"> štúdium</w:t>
      </w:r>
    </w:p>
    <w:p w14:paraId="0000000C" w14:textId="77777777" w:rsidR="00F213AD" w:rsidRDefault="00F213AD">
      <w:pPr>
        <w:spacing w:line="360" w:lineRule="auto"/>
      </w:pPr>
    </w:p>
    <w:p w14:paraId="0000000D" w14:textId="2AFAF41C" w:rsidR="00F213AD" w:rsidRDefault="00AC0385">
      <w:pPr>
        <w:spacing w:line="360" w:lineRule="auto"/>
      </w:pPr>
      <w:r>
        <w:t xml:space="preserve">1. </w:t>
      </w:r>
      <w:r>
        <w:rPr>
          <w:b/>
          <w:i/>
        </w:rPr>
        <w:t>Pojem, predmet, osobitosti, systém a vývoj medzinárodného práva</w:t>
      </w:r>
      <w:r w:rsidR="00363D40">
        <w:t xml:space="preserve"> (01.03</w:t>
      </w:r>
      <w:r>
        <w:t>.202</w:t>
      </w:r>
      <w:r w:rsidR="00363D40">
        <w:t>5</w:t>
      </w:r>
      <w:r>
        <w:t>)</w:t>
      </w:r>
    </w:p>
    <w:p w14:paraId="0000000E" w14:textId="6ADCA837" w:rsidR="00F213AD" w:rsidRDefault="00AC0385">
      <w:pPr>
        <w:spacing w:line="360" w:lineRule="auto"/>
      </w:pPr>
      <w:r>
        <w:t xml:space="preserve">2. </w:t>
      </w:r>
      <w:r>
        <w:rPr>
          <w:b/>
          <w:i/>
        </w:rPr>
        <w:t>Subjekty medzinárodného práva, pojem a druhy subjektov, charakteristika osobitných subjektov medzinárodného práva</w:t>
      </w:r>
      <w:r>
        <w:t xml:space="preserve"> </w:t>
      </w:r>
      <w:r w:rsidR="00363D40">
        <w:t>(01.03.2025)</w:t>
      </w:r>
    </w:p>
    <w:p w14:paraId="0000000F" w14:textId="3D0E4FDD" w:rsidR="00F213AD" w:rsidRDefault="00AC0385">
      <w:pPr>
        <w:spacing w:line="360" w:lineRule="auto"/>
      </w:pPr>
      <w:r>
        <w:t xml:space="preserve">3. </w:t>
      </w:r>
      <w:r>
        <w:rPr>
          <w:b/>
          <w:i/>
        </w:rPr>
        <w:t>Štát ako subjekt medzinárodného práva</w:t>
      </w:r>
      <w:r>
        <w:t xml:space="preserve"> </w:t>
      </w:r>
      <w:r w:rsidR="00363D40">
        <w:t>(01.03.2025)</w:t>
      </w:r>
    </w:p>
    <w:p w14:paraId="00000010" w14:textId="3E186853" w:rsidR="00F213AD" w:rsidRDefault="00AC0385">
      <w:pPr>
        <w:spacing w:line="360" w:lineRule="auto"/>
      </w:pPr>
      <w:r>
        <w:t xml:space="preserve">4. </w:t>
      </w:r>
      <w:r>
        <w:rPr>
          <w:b/>
          <w:i/>
        </w:rPr>
        <w:t>Pramene medzinárodného práva</w:t>
      </w:r>
      <w:r>
        <w:t xml:space="preserve"> </w:t>
      </w:r>
      <w:r w:rsidR="00363D40">
        <w:t>(01.03.2025)</w:t>
      </w:r>
    </w:p>
    <w:p w14:paraId="00000011" w14:textId="120A705F" w:rsidR="00F213AD" w:rsidRDefault="00AC0385">
      <w:pPr>
        <w:spacing w:line="360" w:lineRule="auto"/>
      </w:pPr>
      <w:r>
        <w:t xml:space="preserve">5. </w:t>
      </w:r>
      <w:r>
        <w:rPr>
          <w:b/>
          <w:i/>
        </w:rPr>
        <w:t>Pravidlá, zásady a kodifikácia medzinárodného práva, vzťah medzinárodného práva k vnútroštátnemu právu</w:t>
      </w:r>
      <w:r>
        <w:t xml:space="preserve">  </w:t>
      </w:r>
      <w:r w:rsidR="00363D40">
        <w:t>(01.03.2025)</w:t>
      </w:r>
    </w:p>
    <w:p w14:paraId="00000012" w14:textId="5F98F2F2" w:rsidR="00F213AD" w:rsidRDefault="00AC0385">
      <w:pPr>
        <w:spacing w:line="360" w:lineRule="auto"/>
      </w:pPr>
      <w:r>
        <w:t xml:space="preserve">6. </w:t>
      </w:r>
      <w:r>
        <w:rPr>
          <w:b/>
          <w:i/>
        </w:rPr>
        <w:t>Medzinárodné zmluvné právo I.</w:t>
      </w:r>
      <w:r>
        <w:t xml:space="preserve"> - </w:t>
      </w:r>
      <w:r>
        <w:rPr>
          <w:b/>
          <w:i/>
        </w:rPr>
        <w:t>Pojem a druhy medzinárodných zmlúv, predpoklady vzniku platnej medzinárodnej zmluvy, uzatváranie medzinárodných zmlúv, výhrady k medzinárodnej zmluve, nadobudnutie platnosti medzinárodnej zmluvy</w:t>
      </w:r>
      <w:r>
        <w:t xml:space="preserve"> </w:t>
      </w:r>
      <w:r w:rsidR="00363D40">
        <w:t>(01.03.2025)</w:t>
      </w:r>
    </w:p>
    <w:p w14:paraId="00000013" w14:textId="65F7A6F7" w:rsidR="00F213AD" w:rsidRDefault="00AC0385">
      <w:pPr>
        <w:spacing w:line="360" w:lineRule="auto"/>
      </w:pPr>
      <w:r>
        <w:t xml:space="preserve">7. </w:t>
      </w:r>
      <w:r>
        <w:rPr>
          <w:b/>
          <w:i/>
        </w:rPr>
        <w:t>Medzinárodné zmluvné právo II. - Registrácia a publikácia medzinárodnej zmluvy, výklad medzinárodnej zmluvy, účinky medzinárodnej zmluvy pre tretie štáty, zmeny a úpravy medzinárodnej zmluvy, zánik platnosti medzinárodnej zmluvy, prerušenie platnosti medzinárodnej zmluvy</w:t>
      </w:r>
      <w:r>
        <w:t xml:space="preserve"> (</w:t>
      </w:r>
      <w:r w:rsidR="00500D04">
        <w:t>2</w:t>
      </w:r>
      <w:r w:rsidR="00C3763D">
        <w:t>9</w:t>
      </w:r>
      <w:r>
        <w:t>.0</w:t>
      </w:r>
      <w:r w:rsidR="009E5370">
        <w:t>3</w:t>
      </w:r>
      <w:r>
        <w:t>.202</w:t>
      </w:r>
      <w:r w:rsidR="00500D04">
        <w:t>5</w:t>
      </w:r>
      <w:r>
        <w:t>)</w:t>
      </w:r>
    </w:p>
    <w:p w14:paraId="00000014" w14:textId="1597E722" w:rsidR="00F213AD" w:rsidRDefault="00AC0385">
      <w:pPr>
        <w:spacing w:line="360" w:lineRule="auto"/>
      </w:pPr>
      <w:r>
        <w:t xml:space="preserve">8.  </w:t>
      </w:r>
      <w:r>
        <w:rPr>
          <w:b/>
          <w:i/>
        </w:rPr>
        <w:t xml:space="preserve">Medzinárodnoprávna zodpovednosť pojem a druhy, medzinárodnoprávna zodpovednosť štátov za protiprávne správanie </w:t>
      </w:r>
      <w:r w:rsidR="00500D04">
        <w:t>(29.03.2025)</w:t>
      </w:r>
    </w:p>
    <w:p w14:paraId="00000015" w14:textId="08696B1F" w:rsidR="00F213AD" w:rsidRDefault="00AC0385">
      <w:pPr>
        <w:spacing w:line="360" w:lineRule="auto"/>
      </w:pPr>
      <w:r>
        <w:t xml:space="preserve">9. </w:t>
      </w:r>
      <w:r>
        <w:rPr>
          <w:b/>
          <w:i/>
        </w:rPr>
        <w:t xml:space="preserve">Zodpovednosť za protiprávne správanie iných subjektov medzinárodného práva ako štát, zodpovednosť za škodlivé dôsledky činností nezakázané medzinárodným právom </w:t>
      </w:r>
      <w:r w:rsidR="00500D04">
        <w:t>(29.03.2025)</w:t>
      </w:r>
    </w:p>
    <w:p w14:paraId="00000016" w14:textId="47839CBF" w:rsidR="00F213AD" w:rsidRDefault="00AC0385">
      <w:pPr>
        <w:spacing w:line="360" w:lineRule="auto"/>
      </w:pPr>
      <w:r>
        <w:t xml:space="preserve">10. </w:t>
      </w:r>
      <w:r>
        <w:rPr>
          <w:b/>
          <w:i/>
        </w:rPr>
        <w:t>Donútenie (sankcie) a sebaobrana v medzinárodnom práve</w:t>
      </w:r>
      <w:r>
        <w:rPr>
          <w:i/>
        </w:rPr>
        <w:t xml:space="preserve"> </w:t>
      </w:r>
      <w:r w:rsidR="00500D04">
        <w:t>(29.03.2025)</w:t>
      </w:r>
    </w:p>
    <w:p w14:paraId="00000017" w14:textId="7965F260" w:rsidR="00F213AD" w:rsidRDefault="00AC0385">
      <w:pPr>
        <w:spacing w:line="360" w:lineRule="auto"/>
      </w:pPr>
      <w:r>
        <w:lastRenderedPageBreak/>
        <w:t xml:space="preserve">11.   </w:t>
      </w:r>
      <w:r>
        <w:rPr>
          <w:b/>
          <w:i/>
        </w:rPr>
        <w:t xml:space="preserve">Mierové riešenie medzinárodných sporov, pojem a druhy, diplomatické prostriedky riešenia medzinárodných sporov, medzinárodné rozhodcovské konanie (medzinárodná arbitráž) </w:t>
      </w:r>
      <w:r w:rsidR="00500D04">
        <w:t>(29.03.2025)</w:t>
      </w:r>
    </w:p>
    <w:p w14:paraId="00000018" w14:textId="292A35D7" w:rsidR="00F213AD" w:rsidRDefault="00AC0385">
      <w:pPr>
        <w:spacing w:line="360" w:lineRule="auto"/>
      </w:pPr>
      <w:r>
        <w:t xml:space="preserve">12. </w:t>
      </w:r>
      <w:r>
        <w:rPr>
          <w:b/>
          <w:i/>
        </w:rPr>
        <w:t xml:space="preserve">Medzinárodné súdne konanie, Medzinárodný súdny dvor a ďalšie medzinárodné súdy, riešenie sporov pred orgánmi medzinárodných organizácií </w:t>
      </w:r>
      <w:r w:rsidR="00500D04">
        <w:t>(29.03.2025)</w:t>
      </w:r>
    </w:p>
    <w:p w14:paraId="00000019" w14:textId="77777777" w:rsidR="00F213AD" w:rsidRDefault="00F213AD">
      <w:pPr>
        <w:shd w:val="clear" w:color="auto" w:fill="FFFFFF"/>
        <w:spacing w:line="360" w:lineRule="auto"/>
        <w:rPr>
          <w:b/>
          <w:color w:val="000000"/>
          <w:u w:val="single"/>
        </w:rPr>
      </w:pPr>
    </w:p>
    <w:p w14:paraId="0000001A" w14:textId="078F12D5" w:rsidR="00F213AD" w:rsidRDefault="00AC0385">
      <w:pPr>
        <w:shd w:val="clear" w:color="auto" w:fill="FFFFFF"/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Zoznam prípadov na cvičenia pre </w:t>
      </w:r>
      <w:r w:rsidR="00C3763D">
        <w:rPr>
          <w:b/>
          <w:color w:val="000000"/>
          <w:u w:val="single"/>
        </w:rPr>
        <w:t>externé</w:t>
      </w:r>
      <w:r>
        <w:rPr>
          <w:b/>
          <w:color w:val="000000"/>
          <w:u w:val="single"/>
        </w:rPr>
        <w:t xml:space="preserve"> štúdium</w:t>
      </w:r>
    </w:p>
    <w:p w14:paraId="0000001B" w14:textId="77777777" w:rsidR="00F213AD" w:rsidRDefault="00F213AD">
      <w:pPr>
        <w:rPr>
          <w:color w:val="000000"/>
        </w:rPr>
      </w:pPr>
    </w:p>
    <w:p w14:paraId="0000001C" w14:textId="77777777" w:rsidR="00F213AD" w:rsidRDefault="00F213AD">
      <w:pPr>
        <w:rPr>
          <w:color w:val="000000"/>
        </w:rPr>
      </w:pPr>
    </w:p>
    <w:p w14:paraId="0000001D" w14:textId="52FA5DC7" w:rsidR="00F213AD" w:rsidRDefault="00AC0385">
      <w:pPr>
        <w:shd w:val="clear" w:color="auto" w:fill="FFFFFF"/>
        <w:spacing w:line="360" w:lineRule="auto"/>
      </w:pPr>
      <w:r>
        <w:rPr>
          <w:color w:val="000000"/>
        </w:rPr>
        <w:t xml:space="preserve">1. </w:t>
      </w:r>
      <w:r>
        <w:rPr>
          <w:b/>
          <w:i/>
          <w:color w:val="000000"/>
        </w:rPr>
        <w:t xml:space="preserve">Prípad Náhrada škôd utrpených v službách Organizácie Spojených národov - </w:t>
      </w:r>
      <w:r>
        <w:rPr>
          <w:b/>
          <w:i/>
        </w:rPr>
        <w:t xml:space="preserve">Prípad </w:t>
      </w:r>
      <w:proofErr w:type="spellStart"/>
      <w:r>
        <w:rPr>
          <w:b/>
          <w:i/>
        </w:rPr>
        <w:t>Bernadotte</w:t>
      </w:r>
      <w:proofErr w:type="spellEnd"/>
      <w:r>
        <w:rPr>
          <w:color w:val="000000"/>
        </w:rPr>
        <w:t xml:space="preserve"> (Medzinárodný súdny dvor, posudok, 11. apríla 1949) – k téme subjekty medzinárodného práva, subjektivita medzinárodnej organizácie </w:t>
      </w:r>
      <w:r w:rsidR="00363D40">
        <w:t>(01.03.2025)</w:t>
      </w:r>
    </w:p>
    <w:p w14:paraId="0000001E" w14:textId="2F50AB49" w:rsidR="00F213AD" w:rsidRDefault="00AC0385">
      <w:pPr>
        <w:shd w:val="clear" w:color="auto" w:fill="FFFFFF"/>
        <w:spacing w:line="360" w:lineRule="auto"/>
      </w:pPr>
      <w:r>
        <w:rPr>
          <w:color w:val="000000"/>
        </w:rPr>
        <w:t xml:space="preserve">2. </w:t>
      </w:r>
      <w:r>
        <w:rPr>
          <w:b/>
          <w:i/>
          <w:color w:val="000000"/>
        </w:rPr>
        <w:t xml:space="preserve">Prípad </w:t>
      </w:r>
      <w:r>
        <w:rPr>
          <w:b/>
          <w:i/>
        </w:rPr>
        <w:t>Západná Sahara</w:t>
      </w:r>
      <w:r>
        <w:rPr>
          <w:b/>
        </w:rPr>
        <w:t xml:space="preserve"> </w:t>
      </w:r>
      <w:r>
        <w:rPr>
          <w:color w:val="000000"/>
        </w:rPr>
        <w:t xml:space="preserve">(Medzinárodný súdny dvor, posudok, 16. októbra 1975) – k téme subjekty medzinárodného práva, právo národa na sebaurčenie </w:t>
      </w:r>
      <w:r w:rsidR="00363D40">
        <w:t>(01.03.2025)</w:t>
      </w:r>
    </w:p>
    <w:p w14:paraId="0000001F" w14:textId="3FBB74DC" w:rsidR="00F213AD" w:rsidRDefault="00AC0385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b/>
          <w:i/>
          <w:color w:val="000000"/>
        </w:rPr>
        <w:t>Prípad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Súlad jednostranného vyhlásenia nezávislosti Kosova s medzinárodným právom</w:t>
      </w:r>
      <w:r>
        <w:rPr>
          <w:b/>
          <w:color w:val="000000"/>
        </w:rPr>
        <w:t xml:space="preserve"> </w:t>
      </w:r>
      <w:r>
        <w:rPr>
          <w:color w:val="000000"/>
        </w:rPr>
        <w:t>(Medzinárodný súdny dvor, posudok 22.júla 2010)</w:t>
      </w:r>
      <w:r>
        <w:rPr>
          <w:b/>
          <w:color w:val="000000"/>
        </w:rPr>
        <w:t xml:space="preserve"> - </w:t>
      </w:r>
      <w:r>
        <w:rPr>
          <w:color w:val="000000"/>
        </w:rPr>
        <w:t xml:space="preserve">k témam subjekty medzinárodného práva, právo národa na sebaurčenie, štát ako subjekt medzinárodného práva </w:t>
      </w:r>
      <w:r w:rsidR="00363D40">
        <w:t>(01.03.2025)</w:t>
      </w:r>
    </w:p>
    <w:p w14:paraId="00000020" w14:textId="4198D7AB" w:rsidR="00F213AD" w:rsidRDefault="00AC0385">
      <w:pPr>
        <w:spacing w:line="360" w:lineRule="auto"/>
      </w:pPr>
      <w:r>
        <w:rPr>
          <w:color w:val="000000"/>
        </w:rPr>
        <w:t xml:space="preserve">4. </w:t>
      </w:r>
      <w:r>
        <w:rPr>
          <w:b/>
          <w:i/>
          <w:color w:val="000000"/>
        </w:rPr>
        <w:t>Prípad Právo prechodu cez indické územie</w:t>
      </w:r>
      <w:r>
        <w:rPr>
          <w:b/>
          <w:color w:val="000000"/>
        </w:rPr>
        <w:t>,</w:t>
      </w:r>
      <w:r>
        <w:rPr>
          <w:color w:val="000000"/>
        </w:rPr>
        <w:t xml:space="preserve"> Portugalsko proti Indii – (Medzinárodný súdny dvor, rozsudok, 12. apríla 1960) – k téme pramene medzinárodného práva, tvorba medzinárodnej obyčaje  </w:t>
      </w:r>
      <w:r w:rsidR="00363D40">
        <w:t>(01.03.2025)</w:t>
      </w:r>
    </w:p>
    <w:p w14:paraId="00000021" w14:textId="2DF9A684" w:rsidR="00F213AD" w:rsidRDefault="00AC0385">
      <w:pPr>
        <w:spacing w:line="360" w:lineRule="auto"/>
      </w:pPr>
      <w:r>
        <w:rPr>
          <w:color w:val="000000"/>
        </w:rPr>
        <w:t xml:space="preserve">5. </w:t>
      </w:r>
      <w:r>
        <w:rPr>
          <w:b/>
          <w:i/>
          <w:color w:val="000000"/>
        </w:rPr>
        <w:t>Azylový prípad -</w:t>
      </w:r>
      <w:r>
        <w:rPr>
          <w:i/>
          <w:color w:val="000000"/>
        </w:rPr>
        <w:t xml:space="preserve"> </w:t>
      </w:r>
      <w:r>
        <w:rPr>
          <w:b/>
          <w:i/>
        </w:rPr>
        <w:t xml:space="preserve">Prípad </w:t>
      </w:r>
      <w:proofErr w:type="spellStart"/>
      <w:r>
        <w:rPr>
          <w:b/>
          <w:i/>
        </w:rPr>
        <w:t>Haya</w:t>
      </w:r>
      <w:proofErr w:type="spellEnd"/>
      <w:r>
        <w:rPr>
          <w:b/>
          <w:i/>
        </w:rPr>
        <w:t xml:space="preserve"> del Torre</w:t>
      </w:r>
      <w:r>
        <w:t xml:space="preserve">, Kolumbia proti Peru (Medzinárodný súdny dvor, 20. 11. 1950) – k téme pramene medzinárodného práva, vzťah medzinárodnej zmluvy a medzinárodnej obyčaje </w:t>
      </w:r>
      <w:r w:rsidR="00500D04">
        <w:t>(29.03.2025)</w:t>
      </w:r>
    </w:p>
    <w:p w14:paraId="00000022" w14:textId="0C979D4C" w:rsidR="00F213AD" w:rsidRDefault="00AC0385">
      <w:pPr>
        <w:spacing w:line="360" w:lineRule="auto"/>
      </w:pPr>
      <w:r>
        <w:t xml:space="preserve">6. </w:t>
      </w:r>
      <w:r>
        <w:rPr>
          <w:b/>
          <w:i/>
        </w:rPr>
        <w:t>Prípad Jadrové testy v </w:t>
      </w:r>
      <w:proofErr w:type="spellStart"/>
      <w:r>
        <w:rPr>
          <w:b/>
          <w:i/>
        </w:rPr>
        <w:t>Tichomorí</w:t>
      </w:r>
      <w:proofErr w:type="spellEnd"/>
      <w:r>
        <w:rPr>
          <w:b/>
          <w:i/>
        </w:rPr>
        <w:t>,</w:t>
      </w:r>
      <w:r>
        <w:rPr>
          <w:b/>
        </w:rPr>
        <w:t xml:space="preserve"> </w:t>
      </w:r>
      <w:r>
        <w:t xml:space="preserve">Austrália proti Francúzsku (Medzinárodný súdny dvor, rozsudok, 20.december 1974) – k téme pramene medzinárodného práva, jednostranné právne akty </w:t>
      </w:r>
      <w:r w:rsidR="00500D04">
        <w:t>(29.03.2025)</w:t>
      </w:r>
    </w:p>
    <w:p w14:paraId="00000023" w14:textId="7CB1CC34" w:rsidR="00F213AD" w:rsidRDefault="00AC0385">
      <w:pPr>
        <w:spacing w:line="360" w:lineRule="auto"/>
        <w:rPr>
          <w:color w:val="000000"/>
        </w:rPr>
      </w:pPr>
      <w:r>
        <w:rPr>
          <w:color w:val="000000"/>
        </w:rPr>
        <w:t>7.</w:t>
      </w:r>
      <w:r>
        <w:rPr>
          <w:b/>
        </w:rPr>
        <w:t xml:space="preserve"> </w:t>
      </w:r>
      <w:r>
        <w:rPr>
          <w:b/>
          <w:i/>
        </w:rPr>
        <w:t xml:space="preserve">Prípad sporu o vodné dielo Gabčíkovo – </w:t>
      </w:r>
      <w:proofErr w:type="spellStart"/>
      <w:r>
        <w:rPr>
          <w:b/>
          <w:i/>
        </w:rPr>
        <w:t>Nagymaros</w:t>
      </w:r>
      <w:proofErr w:type="spellEnd"/>
      <w:r>
        <w:rPr>
          <w:i/>
        </w:rPr>
        <w:t>,</w:t>
      </w:r>
      <w:r>
        <w:t xml:space="preserve"> Maďarsko proti Slovensku (Medzinárodný súdny dvor, 25. 9. 1997) – k téme medzinárodné zmluvné právo,  pôsobnosť Viedenského dohovoru o zmluvnom práve, zánik zmluvy </w:t>
      </w:r>
      <w:r w:rsidR="00500D04">
        <w:t>(29.03.2025)</w:t>
      </w:r>
    </w:p>
    <w:p w14:paraId="00000024" w14:textId="64015767" w:rsidR="00F213AD" w:rsidRDefault="00AC0385">
      <w:pPr>
        <w:spacing w:line="360" w:lineRule="auto"/>
        <w:rPr>
          <w:b/>
        </w:rPr>
      </w:pPr>
      <w:r>
        <w:rPr>
          <w:color w:val="000000"/>
        </w:rPr>
        <w:t>8.</w:t>
      </w:r>
      <w:r>
        <w:rPr>
          <w:i/>
        </w:rPr>
        <w:t xml:space="preserve"> </w:t>
      </w:r>
      <w:r>
        <w:rPr>
          <w:b/>
          <w:i/>
        </w:rPr>
        <w:t xml:space="preserve">Prípad </w:t>
      </w:r>
      <w:proofErr w:type="spellStart"/>
      <w:r>
        <w:rPr>
          <w:b/>
          <w:i/>
        </w:rPr>
        <w:t>Korfského</w:t>
      </w:r>
      <w:proofErr w:type="spellEnd"/>
      <w:r>
        <w:rPr>
          <w:b/>
          <w:i/>
        </w:rPr>
        <w:t xml:space="preserve"> kanálu</w:t>
      </w:r>
      <w:r>
        <w:rPr>
          <w:i/>
        </w:rPr>
        <w:t>,</w:t>
      </w:r>
      <w:r>
        <w:t xml:space="preserve"> Veľká Británia proti Albánsku (Medzinárodný súdny dvor, 9. apríl 1949) – k téme zodpovednosť v medzinárodnom práve</w:t>
      </w:r>
      <w:r>
        <w:rPr>
          <w:i/>
        </w:rPr>
        <w:t xml:space="preserve"> </w:t>
      </w:r>
      <w:r w:rsidR="00500D04">
        <w:t>(29.03.2025)</w:t>
      </w:r>
    </w:p>
    <w:p w14:paraId="00000025" w14:textId="13DD19BF" w:rsidR="00F213AD" w:rsidRDefault="00AC0385">
      <w:pPr>
        <w:spacing w:line="360" w:lineRule="auto"/>
      </w:pPr>
      <w:bookmarkStart w:id="0" w:name="_gjdgxs" w:colFirst="0" w:colLast="0"/>
      <w:bookmarkEnd w:id="0"/>
      <w:r>
        <w:t xml:space="preserve">9. </w:t>
      </w:r>
      <w:r>
        <w:rPr>
          <w:b/>
          <w:i/>
        </w:rPr>
        <w:t>Prípad Vojenské a polovojenské aktivity v a proti Nikarague</w:t>
      </w:r>
      <w:r>
        <w:rPr>
          <w:i/>
        </w:rPr>
        <w:t>,</w:t>
      </w:r>
      <w:r>
        <w:t xml:space="preserve"> Nikaragua proti USA</w:t>
      </w:r>
      <w:r>
        <w:rPr>
          <w:i/>
        </w:rPr>
        <w:t xml:space="preserve"> </w:t>
      </w:r>
      <w:r>
        <w:t xml:space="preserve">(Medzinárodný súdny dvor, rozsudok, 27.jún 1986) – k témam donútenie v medzinárodnom práve a právo na sebaobranu </w:t>
      </w:r>
      <w:r w:rsidR="00500D04">
        <w:t>(29.03.2025)</w:t>
      </w:r>
      <w:bookmarkStart w:id="1" w:name="_GoBack"/>
      <w:bookmarkEnd w:id="1"/>
    </w:p>
    <w:sectPr w:rsidR="00F213A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AD"/>
    <w:rsid w:val="00363D40"/>
    <w:rsid w:val="00500D04"/>
    <w:rsid w:val="009E5370"/>
    <w:rsid w:val="00AC0385"/>
    <w:rsid w:val="00B83767"/>
    <w:rsid w:val="00C3763D"/>
    <w:rsid w:val="00E9732B"/>
    <w:rsid w:val="00F213AD"/>
    <w:rsid w:val="00F4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0D47"/>
  <w15:docId w15:val="{45F7266B-EB46-4943-A872-1700993D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jc w:val="center"/>
      <w:outlineLvl w:val="0"/>
    </w:pPr>
    <w:rPr>
      <w:b/>
      <w:smallCaps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KMPaEP</dc:creator>
  <cp:lastModifiedBy>JUDr. Daniel Bednár, PhD.</cp:lastModifiedBy>
  <cp:revision>4</cp:revision>
  <dcterms:created xsi:type="dcterms:W3CDTF">2022-02-15T09:03:00Z</dcterms:created>
  <dcterms:modified xsi:type="dcterms:W3CDTF">2025-02-23T08:00:00Z</dcterms:modified>
</cp:coreProperties>
</file>