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99" w:rsidRPr="000D6399" w:rsidRDefault="000D6399" w:rsidP="000D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0D6399">
        <w:rPr>
          <w:rFonts w:ascii="Times New Roman" w:hAnsi="Times New Roman"/>
          <w:b/>
          <w:bCs/>
          <w:sz w:val="32"/>
          <w:szCs w:val="32"/>
        </w:rPr>
        <w:t>Harmonogram</w:t>
      </w:r>
      <w:proofErr w:type="spellEnd"/>
      <w:r w:rsidRPr="000D6399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D6399">
        <w:rPr>
          <w:rFonts w:ascii="Times New Roman" w:hAnsi="Times New Roman"/>
          <w:b/>
          <w:bCs/>
          <w:sz w:val="32"/>
          <w:szCs w:val="32"/>
        </w:rPr>
        <w:t>seminárov</w:t>
      </w:r>
      <w:proofErr w:type="spellEnd"/>
      <w:r w:rsidRPr="000D6399">
        <w:rPr>
          <w:rFonts w:ascii="Times New Roman" w:hAnsi="Times New Roman"/>
          <w:b/>
          <w:bCs/>
          <w:sz w:val="32"/>
          <w:szCs w:val="32"/>
        </w:rPr>
        <w:t xml:space="preserve"> z </w:t>
      </w:r>
      <w:proofErr w:type="spellStart"/>
      <w:r w:rsidRPr="000D6399">
        <w:rPr>
          <w:rFonts w:ascii="Times New Roman" w:hAnsi="Times New Roman"/>
          <w:b/>
          <w:bCs/>
          <w:sz w:val="32"/>
          <w:szCs w:val="32"/>
        </w:rPr>
        <w:t>predmetu</w:t>
      </w:r>
      <w:proofErr w:type="spellEnd"/>
      <w:r w:rsidRPr="000D6399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D6399">
        <w:rPr>
          <w:rFonts w:ascii="Times New Roman" w:hAnsi="Times New Roman"/>
          <w:b/>
          <w:bCs/>
          <w:sz w:val="32"/>
          <w:szCs w:val="32"/>
        </w:rPr>
        <w:t>Etické</w:t>
      </w:r>
      <w:proofErr w:type="spellEnd"/>
      <w:r w:rsidRPr="000D6399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D6399">
        <w:rPr>
          <w:rFonts w:ascii="Times New Roman" w:hAnsi="Times New Roman"/>
          <w:b/>
          <w:bCs/>
          <w:sz w:val="32"/>
          <w:szCs w:val="32"/>
        </w:rPr>
        <w:t>dilemy</w:t>
      </w:r>
      <w:proofErr w:type="spellEnd"/>
      <w:r w:rsidRPr="000D6399">
        <w:rPr>
          <w:rFonts w:ascii="Times New Roman" w:hAnsi="Times New Roman"/>
          <w:b/>
          <w:bCs/>
          <w:sz w:val="32"/>
          <w:szCs w:val="32"/>
        </w:rPr>
        <w:t xml:space="preserve"> v </w:t>
      </w:r>
      <w:proofErr w:type="spellStart"/>
      <w:r w:rsidRPr="000D6399">
        <w:rPr>
          <w:rFonts w:ascii="Times New Roman" w:hAnsi="Times New Roman"/>
          <w:b/>
          <w:bCs/>
          <w:sz w:val="32"/>
          <w:szCs w:val="32"/>
        </w:rPr>
        <w:t>právnických</w:t>
      </w:r>
      <w:proofErr w:type="spellEnd"/>
      <w:r w:rsidRPr="000D6399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D6399">
        <w:rPr>
          <w:rFonts w:ascii="Times New Roman" w:hAnsi="Times New Roman"/>
          <w:b/>
          <w:bCs/>
          <w:sz w:val="32"/>
          <w:szCs w:val="32"/>
        </w:rPr>
        <w:t>povolaniach</w:t>
      </w:r>
      <w:proofErr w:type="spellEnd"/>
      <w:r w:rsidRPr="000D6399">
        <w:rPr>
          <w:rStyle w:val="Odkaznapoznmkupodiarou"/>
          <w:rFonts w:ascii="Times New Roman" w:hAnsi="Times New Roman"/>
          <w:b/>
          <w:bCs/>
          <w:sz w:val="32"/>
          <w:szCs w:val="32"/>
        </w:rPr>
        <w:footnoteReference w:id="1"/>
      </w:r>
    </w:p>
    <w:p w:rsidR="00E8601E" w:rsidRPr="00E8601E" w:rsidRDefault="00E8601E">
      <w:pPr>
        <w:rPr>
          <w:rFonts w:cs="Calibri"/>
          <w:sz w:val="24"/>
          <w:szCs w:val="24"/>
          <w:lang w:val="sk-SK"/>
        </w:rPr>
      </w:pPr>
    </w:p>
    <w:p w:rsidR="00E8601E" w:rsidRPr="000D6399" w:rsidRDefault="00E8601E" w:rsidP="00E8601E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D6399">
        <w:rPr>
          <w:rFonts w:ascii="Times New Roman" w:hAnsi="Times New Roman"/>
          <w:b/>
          <w:bCs/>
          <w:sz w:val="24"/>
          <w:szCs w:val="24"/>
          <w:lang w:val="sk-SK"/>
        </w:rPr>
        <w:t>Úvod do problematiky etiky</w:t>
      </w:r>
    </w:p>
    <w:p w:rsidR="00D040DB" w:rsidRPr="000D6399" w:rsidRDefault="001E15F6" w:rsidP="000D6399">
      <w:pPr>
        <w:pStyle w:val="Odsekzoznamu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Úloha a postavenie právnikov a právničiek  v</w:t>
      </w:r>
      <w:r w:rsidR="00D040DB" w:rsidRPr="000D6399">
        <w:rPr>
          <w:rFonts w:ascii="Times New Roman" w:hAnsi="Times New Roman"/>
          <w:sz w:val="24"/>
          <w:szCs w:val="24"/>
          <w:lang w:val="sk-SK"/>
        </w:rPr>
        <w:t> </w:t>
      </w:r>
      <w:r w:rsidRPr="000D6399">
        <w:rPr>
          <w:rFonts w:ascii="Times New Roman" w:hAnsi="Times New Roman"/>
          <w:sz w:val="24"/>
          <w:szCs w:val="24"/>
          <w:lang w:val="sk-SK"/>
        </w:rPr>
        <w:t>spoločnosti</w:t>
      </w:r>
    </w:p>
    <w:p w:rsidR="001A4409" w:rsidRPr="000D6399" w:rsidRDefault="001E15F6" w:rsidP="000D6399">
      <w:pPr>
        <w:pStyle w:val="Odsekzoznamu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Vznik požiadaviek na etický výkon povolania</w:t>
      </w:r>
    </w:p>
    <w:p w:rsidR="00E8601E" w:rsidRPr="000D6399" w:rsidRDefault="001A4409" w:rsidP="000D6399">
      <w:pPr>
        <w:pStyle w:val="Odsekzoznamu"/>
        <w:numPr>
          <w:ilvl w:val="1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T</w:t>
      </w:r>
      <w:r w:rsidR="00E8601E" w:rsidRPr="000D6399">
        <w:rPr>
          <w:rFonts w:ascii="Times New Roman" w:hAnsi="Times New Roman"/>
          <w:sz w:val="24"/>
          <w:szCs w:val="24"/>
          <w:lang w:val="sk-SK"/>
        </w:rPr>
        <w:t>eoretický rozmer etických noriem</w:t>
      </w:r>
      <w:r w:rsidRPr="000D6399">
        <w:rPr>
          <w:rFonts w:ascii="Times New Roman" w:hAnsi="Times New Roman"/>
          <w:sz w:val="24"/>
          <w:szCs w:val="24"/>
          <w:lang w:val="sk-SK"/>
        </w:rPr>
        <w:t xml:space="preserve"> (pravá/nepravá etická dilema)</w:t>
      </w:r>
    </w:p>
    <w:p w:rsidR="00E8601E" w:rsidRPr="000D6399" w:rsidRDefault="00E8601E" w:rsidP="00E86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</w:p>
    <w:p w:rsidR="00E8601E" w:rsidRPr="000D6399" w:rsidRDefault="00E8601E" w:rsidP="00E8601E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D6399">
        <w:rPr>
          <w:rFonts w:ascii="Times New Roman" w:hAnsi="Times New Roman"/>
          <w:b/>
          <w:bCs/>
          <w:sz w:val="24"/>
          <w:szCs w:val="24"/>
          <w:lang w:val="sk-SK"/>
        </w:rPr>
        <w:t>Vzťah práva a morálky</w:t>
      </w:r>
    </w:p>
    <w:p w:rsidR="001A4409" w:rsidRPr="000D6399" w:rsidRDefault="001A4409" w:rsidP="000D6399">
      <w:pPr>
        <w:pStyle w:val="Odsekzoznamu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 xml:space="preserve">Právo a morálka v koncepciách právneho naturalizmu a právneho pozitivizmu </w:t>
      </w:r>
    </w:p>
    <w:p w:rsidR="001A4409" w:rsidRPr="000D6399" w:rsidRDefault="001A4409" w:rsidP="000D6399">
      <w:pPr>
        <w:pStyle w:val="Odsekzoznamu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 xml:space="preserve">Vplyv koncepcií právneho pozitivizmu a naturalizmu na riešenie etických dilem v právnických povolaniach (H.L.A. </w:t>
      </w:r>
      <w:proofErr w:type="spellStart"/>
      <w:r w:rsidRPr="000D6399">
        <w:rPr>
          <w:rFonts w:ascii="Times New Roman" w:hAnsi="Times New Roman"/>
          <w:sz w:val="24"/>
          <w:szCs w:val="24"/>
          <w:lang w:val="sk-SK"/>
        </w:rPr>
        <w:t>Hart</w:t>
      </w:r>
      <w:proofErr w:type="spellEnd"/>
      <w:r w:rsidRPr="000D6399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Pr="000D6399">
        <w:rPr>
          <w:rFonts w:ascii="Times New Roman" w:hAnsi="Times New Roman"/>
          <w:sz w:val="24"/>
          <w:szCs w:val="24"/>
          <w:lang w:val="sk-SK"/>
        </w:rPr>
        <w:t>Lon</w:t>
      </w:r>
      <w:proofErr w:type="spellEnd"/>
      <w:r w:rsidRPr="000D6399">
        <w:rPr>
          <w:rFonts w:ascii="Times New Roman" w:hAnsi="Times New Roman"/>
          <w:sz w:val="24"/>
          <w:szCs w:val="24"/>
          <w:lang w:val="sk-SK"/>
        </w:rPr>
        <w:t xml:space="preserve"> L. </w:t>
      </w:r>
      <w:proofErr w:type="spellStart"/>
      <w:r w:rsidRPr="000D6399">
        <w:rPr>
          <w:rFonts w:ascii="Times New Roman" w:hAnsi="Times New Roman"/>
          <w:sz w:val="24"/>
          <w:szCs w:val="24"/>
          <w:lang w:val="sk-SK"/>
        </w:rPr>
        <w:t>Fuller</w:t>
      </w:r>
      <w:proofErr w:type="spellEnd"/>
      <w:r w:rsidRPr="000D6399">
        <w:rPr>
          <w:rFonts w:ascii="Times New Roman" w:hAnsi="Times New Roman"/>
          <w:sz w:val="24"/>
          <w:szCs w:val="24"/>
          <w:lang w:val="sk-SK"/>
        </w:rPr>
        <w:t xml:space="preserve">, R. </w:t>
      </w:r>
      <w:proofErr w:type="spellStart"/>
      <w:r w:rsidRPr="000D6399">
        <w:rPr>
          <w:rFonts w:ascii="Times New Roman" w:hAnsi="Times New Roman"/>
          <w:sz w:val="24"/>
          <w:szCs w:val="24"/>
          <w:lang w:val="sk-SK"/>
        </w:rPr>
        <w:t>Dworkin</w:t>
      </w:r>
      <w:proofErr w:type="spellEnd"/>
      <w:r w:rsidRPr="000D6399">
        <w:rPr>
          <w:rFonts w:ascii="Times New Roman" w:hAnsi="Times New Roman"/>
          <w:sz w:val="24"/>
          <w:szCs w:val="24"/>
          <w:lang w:val="sk-SK"/>
        </w:rPr>
        <w:t xml:space="preserve">, N. </w:t>
      </w:r>
      <w:proofErr w:type="spellStart"/>
      <w:r w:rsidRPr="000D6399">
        <w:rPr>
          <w:rFonts w:ascii="Times New Roman" w:hAnsi="Times New Roman"/>
          <w:sz w:val="24"/>
          <w:szCs w:val="24"/>
          <w:lang w:val="sk-SK"/>
        </w:rPr>
        <w:t>Simmonds</w:t>
      </w:r>
      <w:proofErr w:type="spellEnd"/>
      <w:r w:rsidRPr="000D6399">
        <w:rPr>
          <w:rFonts w:ascii="Times New Roman" w:hAnsi="Times New Roman"/>
          <w:sz w:val="24"/>
          <w:szCs w:val="24"/>
          <w:lang w:val="sk-SK"/>
        </w:rPr>
        <w:t xml:space="preserve">, J. </w:t>
      </w:r>
      <w:proofErr w:type="spellStart"/>
      <w:r w:rsidRPr="000D6399">
        <w:rPr>
          <w:rFonts w:ascii="Times New Roman" w:hAnsi="Times New Roman"/>
          <w:sz w:val="24"/>
          <w:szCs w:val="24"/>
          <w:lang w:val="sk-SK"/>
        </w:rPr>
        <w:t>Finnis</w:t>
      </w:r>
      <w:proofErr w:type="spellEnd"/>
      <w:r w:rsidRPr="000D6399">
        <w:rPr>
          <w:rFonts w:ascii="Times New Roman" w:hAnsi="Times New Roman"/>
          <w:sz w:val="24"/>
          <w:szCs w:val="24"/>
          <w:lang w:val="sk-SK"/>
        </w:rPr>
        <w:t>)</w:t>
      </w:r>
    </w:p>
    <w:p w:rsidR="001A4409" w:rsidRPr="000D6399" w:rsidRDefault="001A4409" w:rsidP="000D6399">
      <w:pPr>
        <w:pStyle w:val="Odsekzoznamu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Štruktúra etickej dilemy</w:t>
      </w:r>
    </w:p>
    <w:p w:rsidR="00E8601E" w:rsidRPr="000D6399" w:rsidRDefault="00E8601E" w:rsidP="00E86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</w:p>
    <w:p w:rsidR="00E8601E" w:rsidRPr="000D6399" w:rsidRDefault="001E4371" w:rsidP="00E8601E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D6399">
        <w:rPr>
          <w:rFonts w:ascii="Times New Roman" w:hAnsi="Times New Roman"/>
          <w:b/>
          <w:bCs/>
          <w:sz w:val="24"/>
          <w:szCs w:val="24"/>
          <w:lang w:val="sk-SK"/>
        </w:rPr>
        <w:t xml:space="preserve">Etické dilemy advokátov/advokátok I. </w:t>
      </w:r>
      <w:r w:rsidR="00E8601E" w:rsidRPr="000D6399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:rsidR="001E4371" w:rsidRPr="000D6399" w:rsidRDefault="001E4371" w:rsidP="000D6399">
      <w:pPr>
        <w:pStyle w:val="Odsekzoznamu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eastAsia="Garamond" w:hAnsi="Times New Roman"/>
          <w:sz w:val="24"/>
          <w:szCs w:val="24"/>
          <w:lang w:val="sk-SK" w:eastAsia="sk-SK"/>
        </w:rPr>
        <w:t>Dôležitosť a potreba etických kódexov právnických povolaní</w:t>
      </w:r>
    </w:p>
    <w:p w:rsidR="001E4371" w:rsidRPr="000D6399" w:rsidRDefault="001E4371" w:rsidP="000D6399">
      <w:pPr>
        <w:pStyle w:val="Odsekzoznamu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eastAsia="Garamond" w:hAnsi="Times New Roman"/>
          <w:sz w:val="24"/>
          <w:szCs w:val="24"/>
          <w:lang w:val="sk-SK" w:eastAsia="sk-SK"/>
        </w:rPr>
        <w:t>Podstata povolania advokáta a limity výkonu advokácie. Vzťah klient – advokát.</w:t>
      </w:r>
    </w:p>
    <w:p w:rsidR="00E8601E" w:rsidRPr="000D6399" w:rsidRDefault="001E4371" w:rsidP="000D6399">
      <w:pPr>
        <w:pStyle w:val="Odsekzoznamu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eastAsia="Garamond" w:hAnsi="Times New Roman"/>
          <w:sz w:val="24"/>
          <w:szCs w:val="24"/>
          <w:lang w:val="sk-SK" w:eastAsia="sk-SK"/>
        </w:rPr>
        <w:t xml:space="preserve"> Úvod do povinnosti mlčanlivosti. Disciplinárne previnenia advokátov</w:t>
      </w:r>
    </w:p>
    <w:p w:rsidR="00E8601E" w:rsidRPr="000D6399" w:rsidRDefault="00E8601E" w:rsidP="00E86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</w:p>
    <w:p w:rsidR="00E8601E" w:rsidRPr="000D6399" w:rsidRDefault="001E4371" w:rsidP="001E4371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D6399">
        <w:rPr>
          <w:rFonts w:ascii="Times New Roman" w:hAnsi="Times New Roman"/>
          <w:b/>
          <w:bCs/>
          <w:sz w:val="24"/>
          <w:szCs w:val="24"/>
          <w:lang w:val="sk-SK"/>
        </w:rPr>
        <w:t xml:space="preserve">Etické dilemy advokátov/advokátok II.  </w:t>
      </w:r>
      <w:r w:rsidR="00E8601E" w:rsidRPr="000D6399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:rsidR="001E4371" w:rsidRPr="000D6399" w:rsidRDefault="001E4371" w:rsidP="000D6399">
      <w:pPr>
        <w:pStyle w:val="Odsekzoznamu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eastAsia="Garamond" w:hAnsi="Times New Roman"/>
          <w:sz w:val="24"/>
          <w:szCs w:val="24"/>
          <w:lang w:val="sk-SK" w:eastAsia="sk-SK"/>
        </w:rPr>
        <w:t>Nezávislosť advokáta/advokátky</w:t>
      </w:r>
    </w:p>
    <w:p w:rsidR="001E4371" w:rsidRPr="000D6399" w:rsidRDefault="001E4371" w:rsidP="000D6399">
      <w:pPr>
        <w:pStyle w:val="Odsekzoznamu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eastAsia="Garamond" w:hAnsi="Times New Roman"/>
          <w:sz w:val="24"/>
          <w:szCs w:val="24"/>
          <w:lang w:val="sk-SK" w:eastAsia="sk-SK"/>
        </w:rPr>
        <w:t xml:space="preserve">Povinnosť mlčanlivosti. Konflikt záujmov. </w:t>
      </w:r>
    </w:p>
    <w:p w:rsidR="00E8601E" w:rsidRPr="000D6399" w:rsidRDefault="001E4371" w:rsidP="000D6399">
      <w:pPr>
        <w:pStyle w:val="Odsekzoznamu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eastAsia="Garamond" w:hAnsi="Times New Roman"/>
          <w:sz w:val="24"/>
          <w:szCs w:val="24"/>
          <w:lang w:val="sk-SK" w:eastAsia="sk-SK"/>
        </w:rPr>
        <w:t xml:space="preserve">Prípad </w:t>
      </w:r>
      <w:proofErr w:type="spellStart"/>
      <w:r w:rsidRPr="000D6399">
        <w:rPr>
          <w:rFonts w:ascii="Times New Roman" w:eastAsia="Garamond" w:hAnsi="Times New Roman"/>
          <w:sz w:val="24"/>
          <w:szCs w:val="24"/>
          <w:lang w:val="sk-SK" w:eastAsia="sk-SK"/>
        </w:rPr>
        <w:t>Mešencová</w:t>
      </w:r>
      <w:proofErr w:type="spellEnd"/>
    </w:p>
    <w:p w:rsidR="00E8601E" w:rsidRPr="000D6399" w:rsidRDefault="00E8601E" w:rsidP="00E86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</w:p>
    <w:p w:rsidR="00E8601E" w:rsidRPr="000D6399" w:rsidRDefault="0040226C" w:rsidP="00E8601E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D6399">
        <w:rPr>
          <w:rFonts w:ascii="Times New Roman" w:hAnsi="Times New Roman"/>
          <w:b/>
          <w:bCs/>
          <w:sz w:val="24"/>
          <w:szCs w:val="24"/>
          <w:lang w:val="sk-SK"/>
        </w:rPr>
        <w:t>Etické dilemy povolania sudcu/sudkyne I.</w:t>
      </w:r>
      <w:r w:rsidR="00E8601E" w:rsidRPr="000D6399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:rsidR="0040226C" w:rsidRPr="000D6399" w:rsidRDefault="0040226C" w:rsidP="000D6399">
      <w:pPr>
        <w:pStyle w:val="Odsekzoznamu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Nezávislosť a nestrannosť sudcov a ich vzťah</w:t>
      </w:r>
    </w:p>
    <w:p w:rsidR="0040226C" w:rsidRPr="000D6399" w:rsidRDefault="0040226C" w:rsidP="000D6399">
      <w:pPr>
        <w:pStyle w:val="Odsekzoznamu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Zodpovednosť sudcov. Povinnosti pri výkone rozhodovacej činnosti</w:t>
      </w:r>
    </w:p>
    <w:p w:rsidR="00E8601E" w:rsidRPr="000D6399" w:rsidRDefault="0040226C" w:rsidP="000D6399">
      <w:pPr>
        <w:pStyle w:val="Odsekzoznamu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Etický kódex sudcov a jeho vznik</w:t>
      </w:r>
    </w:p>
    <w:p w:rsidR="00E8601E" w:rsidRPr="000D6399" w:rsidRDefault="00E8601E" w:rsidP="00E86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</w:p>
    <w:p w:rsidR="00E8601E" w:rsidRPr="000D6399" w:rsidRDefault="0040226C" w:rsidP="00E8601E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D6399">
        <w:rPr>
          <w:rFonts w:ascii="Times New Roman" w:hAnsi="Times New Roman"/>
          <w:b/>
          <w:bCs/>
          <w:sz w:val="24"/>
          <w:szCs w:val="24"/>
          <w:lang w:val="sk-SK"/>
        </w:rPr>
        <w:t>Etické dilemy povolania sudcu/sudkyne II.</w:t>
      </w:r>
    </w:p>
    <w:p w:rsidR="0040226C" w:rsidRPr="000D6399" w:rsidRDefault="0040226C" w:rsidP="000D6399">
      <w:pPr>
        <w:pStyle w:val="Odsekzoznamu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Sloboda prejavu sudcov</w:t>
      </w:r>
    </w:p>
    <w:p w:rsidR="0040226C" w:rsidRPr="000D6399" w:rsidRDefault="0040226C" w:rsidP="000D6399">
      <w:pPr>
        <w:pStyle w:val="Odsekzoznamu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lastRenderedPageBreak/>
        <w:t xml:space="preserve">Povinnosti sudcov v občianskom živote. Kauza </w:t>
      </w:r>
      <w:proofErr w:type="spellStart"/>
      <w:r w:rsidRPr="000D6399">
        <w:rPr>
          <w:rFonts w:ascii="Times New Roman" w:hAnsi="Times New Roman"/>
          <w:sz w:val="24"/>
          <w:szCs w:val="24"/>
          <w:lang w:val="sk-SK"/>
        </w:rPr>
        <w:t>Bonanno</w:t>
      </w:r>
      <w:proofErr w:type="spellEnd"/>
    </w:p>
    <w:p w:rsidR="00E8601E" w:rsidRPr="000D6399" w:rsidRDefault="0040226C" w:rsidP="000D6399">
      <w:pPr>
        <w:pStyle w:val="Odsekzoznamu"/>
        <w:numPr>
          <w:ilvl w:val="1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Disciplinárna zodpovednosť sudcov</w:t>
      </w:r>
    </w:p>
    <w:p w:rsidR="00E8601E" w:rsidRPr="000D6399" w:rsidRDefault="00E8601E" w:rsidP="00E86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</w:p>
    <w:p w:rsidR="00E8601E" w:rsidRPr="000D6399" w:rsidRDefault="005E167B" w:rsidP="00E8601E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D6399">
        <w:rPr>
          <w:rFonts w:ascii="Times New Roman" w:hAnsi="Times New Roman"/>
          <w:b/>
          <w:bCs/>
          <w:sz w:val="24"/>
          <w:szCs w:val="24"/>
          <w:lang w:val="sk-SK"/>
        </w:rPr>
        <w:t>Etické dilemy povolania prokurátora/prokurátorky I.</w:t>
      </w:r>
    </w:p>
    <w:p w:rsidR="005E167B" w:rsidRPr="000D6399" w:rsidRDefault="005E167B" w:rsidP="000D6399">
      <w:pPr>
        <w:pStyle w:val="Odsekzoznamu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Podstata povolania prokurátora/prokurátorky. Modely prokuratúry a verejný záujem</w:t>
      </w:r>
    </w:p>
    <w:p w:rsidR="005E167B" w:rsidRPr="000D6399" w:rsidRDefault="005E167B" w:rsidP="000D6399">
      <w:pPr>
        <w:pStyle w:val="Odsekzoznamu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Nezávislosť prokuratúry</w:t>
      </w:r>
    </w:p>
    <w:p w:rsidR="00E8601E" w:rsidRPr="000D6399" w:rsidRDefault="005E167B" w:rsidP="000D6399">
      <w:pPr>
        <w:pStyle w:val="Odsekzoznamu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Etický kódex prokurátorov</w:t>
      </w:r>
    </w:p>
    <w:p w:rsidR="00E8601E" w:rsidRPr="000D6399" w:rsidRDefault="00E8601E" w:rsidP="00E86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</w:p>
    <w:p w:rsidR="00E8601E" w:rsidRPr="000D6399" w:rsidRDefault="005E167B" w:rsidP="00E8601E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D6399">
        <w:rPr>
          <w:rFonts w:ascii="Times New Roman" w:hAnsi="Times New Roman"/>
          <w:b/>
          <w:bCs/>
          <w:sz w:val="24"/>
          <w:szCs w:val="24"/>
          <w:lang w:val="sk-SK"/>
        </w:rPr>
        <w:t>Etické dilemy povolania prokurátora/prokurátorky II.</w:t>
      </w:r>
      <w:r w:rsidR="00E8601E" w:rsidRPr="000D6399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:rsidR="005E167B" w:rsidRPr="000D6399" w:rsidRDefault="005E167B" w:rsidP="00B9138F">
      <w:pPr>
        <w:pStyle w:val="Odsekzoznamu"/>
        <w:numPr>
          <w:ilvl w:val="1"/>
          <w:numId w:val="20"/>
        </w:numPr>
        <w:autoSpaceDE w:val="0"/>
        <w:autoSpaceDN w:val="0"/>
        <w:adjustRightInd w:val="0"/>
        <w:ind w:left="1418" w:hanging="317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Etická komisia prokuratúry</w:t>
      </w:r>
    </w:p>
    <w:p w:rsidR="005E167B" w:rsidRPr="000D6399" w:rsidRDefault="005E167B" w:rsidP="00B9138F">
      <w:pPr>
        <w:pStyle w:val="Odsekzoznamu"/>
        <w:numPr>
          <w:ilvl w:val="1"/>
          <w:numId w:val="20"/>
        </w:numPr>
        <w:autoSpaceDE w:val="0"/>
        <w:autoSpaceDN w:val="0"/>
        <w:adjustRightInd w:val="0"/>
        <w:ind w:left="1418" w:hanging="317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Disciplinárne konania prokurátorov</w:t>
      </w:r>
    </w:p>
    <w:p w:rsidR="00E8601E" w:rsidRPr="000D6399" w:rsidRDefault="005E167B" w:rsidP="00B9138F">
      <w:pPr>
        <w:pStyle w:val="Odsekzoznamu"/>
        <w:numPr>
          <w:ilvl w:val="1"/>
          <w:numId w:val="20"/>
        </w:numPr>
        <w:autoSpaceDE w:val="0"/>
        <w:autoSpaceDN w:val="0"/>
        <w:adjustRightInd w:val="0"/>
        <w:ind w:left="1418" w:hanging="317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Prípad Špirko</w:t>
      </w:r>
      <w:bookmarkStart w:id="0" w:name="_GoBack"/>
      <w:bookmarkEnd w:id="0"/>
    </w:p>
    <w:p w:rsidR="00E8601E" w:rsidRPr="000D6399" w:rsidRDefault="00E8601E" w:rsidP="00E86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</w:p>
    <w:p w:rsidR="00E8601E" w:rsidRPr="000D6399" w:rsidRDefault="005E167B" w:rsidP="00E8601E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D6399">
        <w:rPr>
          <w:rFonts w:ascii="Times New Roman" w:hAnsi="Times New Roman"/>
          <w:b/>
          <w:bCs/>
          <w:sz w:val="24"/>
          <w:szCs w:val="24"/>
          <w:lang w:val="sk-SK"/>
        </w:rPr>
        <w:t>Etické dilemy povolania notára, exekútora, štátneho zamestnanca, akademika</w:t>
      </w:r>
      <w:r w:rsidR="00E8601E" w:rsidRPr="000D6399">
        <w:rPr>
          <w:rFonts w:ascii="Times New Roman" w:hAnsi="Times New Roman"/>
          <w:b/>
          <w:bCs/>
          <w:sz w:val="24"/>
          <w:szCs w:val="24"/>
          <w:lang w:val="sk-SK"/>
        </w:rPr>
        <w:t xml:space="preserve">. </w:t>
      </w:r>
    </w:p>
    <w:p w:rsidR="00E8601E" w:rsidRPr="000D6399" w:rsidRDefault="005E167B" w:rsidP="000D6399">
      <w:pPr>
        <w:pStyle w:val="Odsekzoznamu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Podstata jednotlivých povolaní</w:t>
      </w:r>
    </w:p>
    <w:p w:rsidR="00E8601E" w:rsidRPr="000D6399" w:rsidRDefault="005E167B" w:rsidP="000D6399">
      <w:pPr>
        <w:pStyle w:val="Odsekzoznamu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Nezávislosť, nestrannosť a profesionalita</w:t>
      </w:r>
    </w:p>
    <w:p w:rsidR="005E167B" w:rsidRPr="000D6399" w:rsidRDefault="005E167B" w:rsidP="000D6399">
      <w:pPr>
        <w:pStyle w:val="Odsekzoznamu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Etické kódexy a disciplinovanie</w:t>
      </w:r>
    </w:p>
    <w:p w:rsidR="00E8601E" w:rsidRPr="000D6399" w:rsidRDefault="00E8601E" w:rsidP="00E86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</w:p>
    <w:p w:rsidR="00E8601E" w:rsidRPr="000D6399" w:rsidRDefault="005E167B" w:rsidP="00E8601E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D6399">
        <w:rPr>
          <w:rFonts w:ascii="Times New Roman" w:hAnsi="Times New Roman"/>
          <w:b/>
          <w:bCs/>
          <w:sz w:val="24"/>
          <w:szCs w:val="24"/>
          <w:lang w:val="sk-SK"/>
        </w:rPr>
        <w:t>Moderné technológie a ich presah do problematiky etiky právnických povolaní</w:t>
      </w:r>
    </w:p>
    <w:p w:rsidR="005E167B" w:rsidRPr="000D6399" w:rsidRDefault="005E167B" w:rsidP="000D6399">
      <w:pPr>
        <w:pStyle w:val="Odsekzoznamu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Bezpečnosť informácií a mlčanlivosť v čase rozšíreného internetu</w:t>
      </w:r>
    </w:p>
    <w:p w:rsidR="005E167B" w:rsidRPr="000D6399" w:rsidRDefault="005E167B" w:rsidP="000D6399">
      <w:pPr>
        <w:pStyle w:val="Odsekzoznamu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Reklama právnických povolaní</w:t>
      </w:r>
    </w:p>
    <w:p w:rsidR="005E167B" w:rsidRPr="000D6399" w:rsidRDefault="005E167B" w:rsidP="000D6399">
      <w:pPr>
        <w:pStyle w:val="Odsekzoznamu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Špecifické právnické zručnosti v čase rozšíreného internetu</w:t>
      </w:r>
    </w:p>
    <w:p w:rsidR="00E8601E" w:rsidRPr="000D6399" w:rsidRDefault="00E8601E" w:rsidP="00E8601E">
      <w:pPr>
        <w:rPr>
          <w:rFonts w:ascii="Times New Roman" w:hAnsi="Times New Roman"/>
          <w:sz w:val="24"/>
          <w:szCs w:val="24"/>
          <w:lang w:val="sk-SK"/>
        </w:rPr>
      </w:pPr>
    </w:p>
    <w:p w:rsidR="00E8601E" w:rsidRPr="000D6399" w:rsidRDefault="005E167B" w:rsidP="005E167B">
      <w:pPr>
        <w:pStyle w:val="Odsekzoznamu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lang w:val="sk-SK"/>
        </w:rPr>
      </w:pPr>
      <w:r w:rsidRPr="000D6399">
        <w:rPr>
          <w:rFonts w:ascii="Times New Roman" w:hAnsi="Times New Roman"/>
          <w:b/>
          <w:bCs/>
          <w:sz w:val="24"/>
          <w:szCs w:val="24"/>
          <w:lang w:val="sk-SK"/>
        </w:rPr>
        <w:t>Medzinárodný aspekt etiky právnických povolaní v globalizovanej spoločnosti</w:t>
      </w:r>
    </w:p>
    <w:p w:rsidR="005E167B" w:rsidRPr="000D6399" w:rsidRDefault="005E167B" w:rsidP="000D6399">
      <w:pPr>
        <w:pStyle w:val="Odsekzoznamu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Globalizácia a výzvy pre základné princípy výkonu povolaní</w:t>
      </w:r>
    </w:p>
    <w:p w:rsidR="005E167B" w:rsidRPr="000D6399" w:rsidRDefault="005E167B" w:rsidP="000D6399">
      <w:pPr>
        <w:pStyle w:val="Odsekzoznamu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Európske kódexy sudcov a advokátov</w:t>
      </w:r>
    </w:p>
    <w:p w:rsidR="005E167B" w:rsidRPr="000D6399" w:rsidRDefault="005E167B" w:rsidP="000D6399">
      <w:pPr>
        <w:pStyle w:val="Odsekzoznamu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k-SK"/>
        </w:rPr>
      </w:pPr>
      <w:r w:rsidRPr="000D6399">
        <w:rPr>
          <w:rFonts w:ascii="Times New Roman" w:hAnsi="Times New Roman"/>
          <w:sz w:val="24"/>
          <w:szCs w:val="24"/>
          <w:lang w:val="sk-SK"/>
        </w:rPr>
        <w:t>Globalizácia neformálnych štandardov etiky povolaní</w:t>
      </w:r>
    </w:p>
    <w:sectPr w:rsidR="005E167B" w:rsidRPr="000D6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223" w:rsidRDefault="00613223" w:rsidP="000D6399">
      <w:pPr>
        <w:spacing w:after="0" w:line="240" w:lineRule="auto"/>
      </w:pPr>
      <w:r>
        <w:separator/>
      </w:r>
    </w:p>
  </w:endnote>
  <w:endnote w:type="continuationSeparator" w:id="0">
    <w:p w:rsidR="00613223" w:rsidRDefault="00613223" w:rsidP="000D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223" w:rsidRDefault="00613223" w:rsidP="000D6399">
      <w:pPr>
        <w:spacing w:after="0" w:line="240" w:lineRule="auto"/>
      </w:pPr>
      <w:r>
        <w:separator/>
      </w:r>
    </w:p>
  </w:footnote>
  <w:footnote w:type="continuationSeparator" w:id="0">
    <w:p w:rsidR="00613223" w:rsidRDefault="00613223" w:rsidP="000D6399">
      <w:pPr>
        <w:spacing w:after="0" w:line="240" w:lineRule="auto"/>
      </w:pPr>
      <w:r>
        <w:continuationSeparator/>
      </w:r>
    </w:p>
  </w:footnote>
  <w:footnote w:id="1">
    <w:p w:rsidR="000D6399" w:rsidRDefault="000D6399" w:rsidP="000D6399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V rámci denného štúdia bude každý týždeň </w:t>
      </w:r>
      <w:proofErr w:type="spellStart"/>
      <w:r>
        <w:rPr>
          <w:rFonts w:ascii="Times New Roman" w:hAnsi="Times New Roman"/>
        </w:rPr>
        <w:t>odprednášaná</w:t>
      </w:r>
      <w:proofErr w:type="spellEnd"/>
      <w:r>
        <w:rPr>
          <w:rFonts w:ascii="Times New Roman" w:hAnsi="Times New Roman"/>
        </w:rPr>
        <w:t xml:space="preserve"> jedna téma. V externom štúdiu je harmonogram prednášok prispôsobený aktuálnemu rozvrhu pre externé štúdium. </w:t>
      </w:r>
    </w:p>
    <w:p w:rsidR="000D6399" w:rsidRDefault="000D6399" w:rsidP="000D6399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ED0"/>
    <w:multiLevelType w:val="hybridMultilevel"/>
    <w:tmpl w:val="CE369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013A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94E"/>
    <w:multiLevelType w:val="hybridMultilevel"/>
    <w:tmpl w:val="98AA2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050C"/>
    <w:multiLevelType w:val="hybridMultilevel"/>
    <w:tmpl w:val="A24A9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602A"/>
    <w:multiLevelType w:val="hybridMultilevel"/>
    <w:tmpl w:val="113ED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DE8D0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2609"/>
    <w:multiLevelType w:val="hybridMultilevel"/>
    <w:tmpl w:val="C7B64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DE8D0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3813"/>
    <w:multiLevelType w:val="hybridMultilevel"/>
    <w:tmpl w:val="E66E9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DE8D0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6BBB"/>
    <w:multiLevelType w:val="hybridMultilevel"/>
    <w:tmpl w:val="74BCAAF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2B3E"/>
    <w:multiLevelType w:val="hybridMultilevel"/>
    <w:tmpl w:val="35CA191E"/>
    <w:lvl w:ilvl="0" w:tplc="CDE8D0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F7FE9"/>
    <w:multiLevelType w:val="hybridMultilevel"/>
    <w:tmpl w:val="C3B6D682"/>
    <w:lvl w:ilvl="0" w:tplc="CDE8D0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2A50D8"/>
    <w:multiLevelType w:val="hybridMultilevel"/>
    <w:tmpl w:val="6DB08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6BF"/>
    <w:multiLevelType w:val="hybridMultilevel"/>
    <w:tmpl w:val="81FAD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DE8D0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A41"/>
    <w:multiLevelType w:val="hybridMultilevel"/>
    <w:tmpl w:val="6A6E5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E5BCE"/>
    <w:multiLevelType w:val="hybridMultilevel"/>
    <w:tmpl w:val="8C341E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817FF"/>
    <w:multiLevelType w:val="hybridMultilevel"/>
    <w:tmpl w:val="6EBA6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DE8D0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C443E"/>
    <w:multiLevelType w:val="hybridMultilevel"/>
    <w:tmpl w:val="9C74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52CD9"/>
    <w:multiLevelType w:val="hybridMultilevel"/>
    <w:tmpl w:val="57F6E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1A93"/>
    <w:multiLevelType w:val="hybridMultilevel"/>
    <w:tmpl w:val="6058A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DE8D0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343B6"/>
    <w:multiLevelType w:val="hybridMultilevel"/>
    <w:tmpl w:val="DD685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14FEA"/>
    <w:multiLevelType w:val="hybridMultilevel"/>
    <w:tmpl w:val="F61C5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38AE"/>
    <w:multiLevelType w:val="hybridMultilevel"/>
    <w:tmpl w:val="564E401E"/>
    <w:lvl w:ilvl="0" w:tplc="CDE8D0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7A375B"/>
    <w:multiLevelType w:val="hybridMultilevel"/>
    <w:tmpl w:val="BD40B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F5BFE"/>
    <w:multiLevelType w:val="hybridMultilevel"/>
    <w:tmpl w:val="BD9CB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403CC"/>
    <w:multiLevelType w:val="hybridMultilevel"/>
    <w:tmpl w:val="D2BA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16"/>
  </w:num>
  <w:num w:numId="8">
    <w:abstractNumId w:val="19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1"/>
  </w:num>
  <w:num w:numId="16">
    <w:abstractNumId w:val="22"/>
  </w:num>
  <w:num w:numId="17">
    <w:abstractNumId w:val="20"/>
  </w:num>
  <w:num w:numId="18">
    <w:abstractNumId w:val="21"/>
  </w:num>
  <w:num w:numId="19">
    <w:abstractNumId w:val="14"/>
  </w:num>
  <w:num w:numId="20">
    <w:abstractNumId w:val="8"/>
  </w:num>
  <w:num w:numId="21">
    <w:abstractNumId w:val="18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1tzA0NjYzMrcwMzFS0lEKTi0uzszPAykwrgUA0bAWDiwAAAA="/>
  </w:docVars>
  <w:rsids>
    <w:rsidRoot w:val="00E8601E"/>
    <w:rsid w:val="000D6399"/>
    <w:rsid w:val="001A4409"/>
    <w:rsid w:val="001E15F6"/>
    <w:rsid w:val="001E4371"/>
    <w:rsid w:val="0040226C"/>
    <w:rsid w:val="005E167B"/>
    <w:rsid w:val="00613223"/>
    <w:rsid w:val="006477F9"/>
    <w:rsid w:val="00AE100A"/>
    <w:rsid w:val="00B9138F"/>
    <w:rsid w:val="00D040DB"/>
    <w:rsid w:val="00E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60B7"/>
  <w15:chartTrackingRefBased/>
  <w15:docId w15:val="{E8177127-9B4F-470B-A25D-F5C37782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601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6399"/>
    <w:pPr>
      <w:spacing w:after="0" w:line="240" w:lineRule="auto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6399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6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berdajev</cp:lastModifiedBy>
  <cp:revision>3</cp:revision>
  <dcterms:created xsi:type="dcterms:W3CDTF">2019-09-02T06:57:00Z</dcterms:created>
  <dcterms:modified xsi:type="dcterms:W3CDTF">2019-09-02T06:57:00Z</dcterms:modified>
</cp:coreProperties>
</file>