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76" w:rsidRPr="001C02A2" w:rsidRDefault="002B3376" w:rsidP="002B3376">
      <w:pPr>
        <w:pBdr>
          <w:bottom w:val="single" w:sz="4" w:space="1" w:color="auto"/>
        </w:pBdr>
        <w:spacing w:after="120"/>
        <w:ind w:left="-284"/>
        <w:rPr>
          <w:b/>
          <w:sz w:val="28"/>
          <w:szCs w:val="28"/>
          <w:lang w:val="sk-SK"/>
        </w:rPr>
      </w:pPr>
      <w:r w:rsidRPr="001C02A2">
        <w:rPr>
          <w:b/>
          <w:sz w:val="28"/>
          <w:szCs w:val="28"/>
          <w:lang w:val="sk-SK"/>
        </w:rPr>
        <w:t>Špecifické znaky právnych noriem</w:t>
      </w:r>
    </w:p>
    <w:p w:rsidR="002B3376" w:rsidRPr="001C02A2" w:rsidRDefault="002B3376" w:rsidP="002B3376">
      <w:pPr>
        <w:spacing w:after="120"/>
        <w:ind w:left="-284"/>
        <w:jc w:val="right"/>
        <w:rPr>
          <w:b/>
          <w:lang w:val="sk-SK"/>
        </w:rPr>
      </w:pPr>
      <w:r w:rsidRPr="001C02A2">
        <w:rPr>
          <w:b/>
          <w:lang w:val="sk-SK"/>
        </w:rPr>
        <w:t>9. 10. 2019</w:t>
      </w:r>
    </w:p>
    <w:p w:rsidR="002B3376" w:rsidRPr="001C02A2" w:rsidRDefault="002B3376" w:rsidP="002B3376">
      <w:pPr>
        <w:spacing w:after="120"/>
        <w:ind w:left="-284"/>
        <w:rPr>
          <w:rFonts w:cstheme="minorHAnsi"/>
          <w:b/>
          <w:sz w:val="21"/>
          <w:szCs w:val="21"/>
          <w:lang w:val="sk-SK"/>
        </w:rPr>
      </w:pPr>
    </w:p>
    <w:p w:rsidR="002B3376" w:rsidRPr="001C02A2" w:rsidRDefault="008B74CA" w:rsidP="002B3376">
      <w:pPr>
        <w:spacing w:after="120"/>
        <w:ind w:left="-284"/>
        <w:rPr>
          <w:rFonts w:cstheme="minorHAnsi"/>
          <w:b/>
          <w:sz w:val="21"/>
          <w:szCs w:val="21"/>
          <w:lang w:val="sk-SK"/>
        </w:rPr>
      </w:pPr>
      <w:r w:rsidRPr="001C02A2">
        <w:rPr>
          <w:rFonts w:cstheme="minorHAnsi"/>
          <w:b/>
          <w:sz w:val="21"/>
          <w:szCs w:val="21"/>
          <w:lang w:val="sk-SK"/>
        </w:rPr>
        <w:t>1. Rozdiel medzi normatívnou právnou vetou a právnou normou</w:t>
      </w:r>
    </w:p>
    <w:p w:rsidR="008B74CA" w:rsidRPr="001C02A2" w:rsidRDefault="008B74CA" w:rsidP="002B3376">
      <w:pPr>
        <w:spacing w:after="120"/>
        <w:ind w:left="-284"/>
        <w:rPr>
          <w:rFonts w:cstheme="minorHAnsi"/>
          <w:sz w:val="21"/>
          <w:szCs w:val="21"/>
          <w:lang w:val="sk-SK"/>
        </w:rPr>
      </w:pPr>
      <w:r w:rsidRPr="001C02A2">
        <w:rPr>
          <w:rFonts w:cstheme="minorHAnsi"/>
          <w:sz w:val="21"/>
          <w:szCs w:val="21"/>
          <w:u w:val="single"/>
          <w:lang w:val="sk-SK"/>
        </w:rPr>
        <w:t>Téza</w:t>
      </w:r>
      <w:r w:rsidRPr="001C02A2">
        <w:rPr>
          <w:rFonts w:cstheme="minorHAnsi"/>
          <w:sz w:val="21"/>
          <w:szCs w:val="21"/>
          <w:lang w:val="sk-SK"/>
        </w:rPr>
        <w:t>: Právna norma je význam normatívnej právnej vety určený pre účely jej aplikácie na konkrétny prípad.</w:t>
      </w:r>
    </w:p>
    <w:p w:rsidR="008F1B01" w:rsidRPr="001C02A2" w:rsidRDefault="008B74CA" w:rsidP="002B3376">
      <w:pPr>
        <w:spacing w:after="120"/>
        <w:ind w:left="-284"/>
        <w:rPr>
          <w:rFonts w:cstheme="minorHAnsi"/>
          <w:sz w:val="21"/>
          <w:szCs w:val="21"/>
          <w:lang w:val="sk-SK"/>
        </w:rPr>
      </w:pPr>
      <w:r w:rsidRPr="001C02A2">
        <w:rPr>
          <w:rFonts w:cstheme="minorHAnsi"/>
          <w:sz w:val="21"/>
          <w:szCs w:val="21"/>
          <w:u w:val="single"/>
          <w:lang w:val="sk-SK"/>
        </w:rPr>
        <w:t>Vysvetlenie</w:t>
      </w:r>
      <w:r w:rsidRPr="001C02A2">
        <w:rPr>
          <w:rFonts w:cstheme="minorHAnsi"/>
          <w:sz w:val="21"/>
          <w:szCs w:val="21"/>
          <w:lang w:val="sk-SK"/>
        </w:rPr>
        <w:t xml:space="preserve">: V právnych predpisoch nachádzame </w:t>
      </w:r>
      <w:r w:rsidR="008F1B01" w:rsidRPr="001C02A2">
        <w:rPr>
          <w:rFonts w:cstheme="minorHAnsi"/>
          <w:sz w:val="21"/>
          <w:szCs w:val="21"/>
          <w:lang w:val="sk-SK"/>
        </w:rPr>
        <w:t>bezprostredne</w:t>
      </w:r>
      <w:r w:rsidRPr="001C02A2">
        <w:rPr>
          <w:rFonts w:cstheme="minorHAnsi"/>
          <w:sz w:val="21"/>
          <w:szCs w:val="21"/>
          <w:lang w:val="sk-SK"/>
        </w:rPr>
        <w:t xml:space="preserve"> iba normatívne právne vety. Právne normy sú až výsledkom </w:t>
      </w:r>
      <w:r w:rsidR="008F1B01" w:rsidRPr="001C02A2">
        <w:rPr>
          <w:rFonts w:cstheme="minorHAnsi"/>
          <w:sz w:val="21"/>
          <w:szCs w:val="21"/>
          <w:lang w:val="sk-SK"/>
        </w:rPr>
        <w:t xml:space="preserve">pochopenia, resp. výkladu týchto viet. Teda zákon obsahuje právne normy iba za predpokladu, že si ho niekto prečítal a že prečítané pochopil. Zákon chápeme vtedy, keď ho dokážeme vztiahnuť na konkrétnu skutkovú situáciu a vyriešiť konkrétny právny problém. Iba vtedy môžeme hovoriť o tom, že sme z textu zákona (z normatívnych právnych viet) vyvodili právne normy. </w:t>
      </w:r>
    </w:p>
    <w:p w:rsidR="008F1B01" w:rsidRPr="001C02A2" w:rsidRDefault="008F1B01" w:rsidP="002B3376">
      <w:pPr>
        <w:spacing w:after="120"/>
        <w:ind w:left="-284"/>
        <w:rPr>
          <w:rFonts w:cstheme="minorHAnsi"/>
          <w:sz w:val="21"/>
          <w:szCs w:val="21"/>
          <w:lang w:val="sk-SK"/>
        </w:rPr>
      </w:pPr>
      <w:r w:rsidRPr="001C02A2">
        <w:rPr>
          <w:rFonts w:cstheme="minorHAnsi"/>
          <w:sz w:val="21"/>
          <w:szCs w:val="21"/>
          <w:u w:val="single"/>
          <w:lang w:val="sk-SK"/>
        </w:rPr>
        <w:t>Príklad</w:t>
      </w:r>
      <w:r w:rsidRPr="001C02A2">
        <w:rPr>
          <w:rFonts w:cstheme="minorHAnsi"/>
          <w:sz w:val="21"/>
          <w:szCs w:val="21"/>
          <w:lang w:val="sk-SK"/>
        </w:rPr>
        <w:t xml:space="preserve">: </w:t>
      </w:r>
    </w:p>
    <w:p w:rsidR="008F1B01" w:rsidRPr="001C02A2" w:rsidRDefault="008F1B01" w:rsidP="002B3376">
      <w:pPr>
        <w:spacing w:after="120"/>
        <w:ind w:left="-284"/>
        <w:rPr>
          <w:rFonts w:cstheme="minorHAnsi"/>
          <w:sz w:val="21"/>
          <w:szCs w:val="21"/>
          <w:lang w:val="sk-SK"/>
        </w:rPr>
        <w:sectPr w:rsidR="008F1B01" w:rsidRPr="001C02A2" w:rsidSect="00A808F0">
          <w:footerReference w:type="default" r:id="rId9"/>
          <w:pgSz w:w="11906" w:h="16838"/>
          <w:pgMar w:top="851" w:right="1274" w:bottom="851" w:left="1440" w:header="708" w:footer="708" w:gutter="0"/>
          <w:cols w:space="708"/>
          <w:docGrid w:linePitch="360"/>
        </w:sectPr>
      </w:pPr>
    </w:p>
    <w:p w:rsidR="008F1B01" w:rsidRPr="001C02A2" w:rsidRDefault="008F1B01" w:rsidP="002B3376">
      <w:pPr>
        <w:spacing w:after="120"/>
        <w:ind w:left="-284"/>
        <w:rPr>
          <w:rFonts w:cstheme="minorHAnsi"/>
          <w:sz w:val="21"/>
          <w:szCs w:val="21"/>
          <w:lang w:val="sk-SK"/>
        </w:rPr>
      </w:pPr>
      <w:r w:rsidRPr="001C02A2">
        <w:rPr>
          <w:rFonts w:cstheme="minorHAnsi"/>
          <w:sz w:val="21"/>
          <w:szCs w:val="21"/>
          <w:lang w:val="sk-SK"/>
        </w:rPr>
        <w:lastRenderedPageBreak/>
        <w:t>Normatívna právna veta:</w:t>
      </w:r>
    </w:p>
    <w:p w:rsidR="008F1B01" w:rsidRPr="001C02A2" w:rsidRDefault="008F1B01" w:rsidP="008F1B01">
      <w:pPr>
        <w:spacing w:after="120"/>
        <w:ind w:left="-284"/>
        <w:rPr>
          <w:rFonts w:cstheme="minorHAnsi"/>
          <w:sz w:val="21"/>
          <w:szCs w:val="21"/>
          <w:lang w:val="sk-SK"/>
        </w:rPr>
      </w:pPr>
      <w:r w:rsidRPr="001C02A2">
        <w:rPr>
          <w:rFonts w:ascii="Calibri" w:hAnsi="Calibri" w:cs="Calibri"/>
          <w:lang w:val="sk-SK"/>
        </w:rPr>
        <w:t>„</w:t>
      </w:r>
      <w:r w:rsidRPr="001C02A2">
        <w:rPr>
          <w:rFonts w:cs="Calibri"/>
          <w:i/>
          <w:lang w:val="sk-SK"/>
        </w:rPr>
        <w:t>K</w:t>
      </w:r>
      <w:r w:rsidRPr="001C02A2">
        <w:rPr>
          <w:rFonts w:ascii="Calibri" w:hAnsi="Calibri" w:cs="Calibri"/>
          <w:i/>
          <w:lang w:val="sk-SK"/>
        </w:rPr>
        <w:t>to iného úmyselne usmrtí, potrestá sa odňatím slobody na pätnásť rokov až dvadsať rokov</w:t>
      </w:r>
      <w:r w:rsidRPr="001C02A2">
        <w:rPr>
          <w:rFonts w:ascii="Calibri" w:hAnsi="Calibri" w:cs="Calibri"/>
          <w:lang w:val="sk-SK"/>
        </w:rPr>
        <w:t xml:space="preserve">“. </w:t>
      </w:r>
      <w:r w:rsidRPr="001C02A2">
        <w:rPr>
          <w:rFonts w:ascii="Calibri" w:hAnsi="Calibri" w:cs="Calibri"/>
          <w:lang w:val="sk-SK"/>
        </w:rPr>
        <w:br w:type="column"/>
      </w:r>
      <w:r w:rsidRPr="001C02A2">
        <w:rPr>
          <w:rFonts w:ascii="Calibri" w:hAnsi="Calibri" w:cs="Calibri"/>
          <w:lang w:val="sk-SK"/>
        </w:rPr>
        <w:lastRenderedPageBreak/>
        <w:t xml:space="preserve">Právna norma: </w:t>
      </w:r>
    </w:p>
    <w:p w:rsidR="008F1B01" w:rsidRPr="001C02A2" w:rsidRDefault="008F1B01" w:rsidP="008F1B01">
      <w:pPr>
        <w:pStyle w:val="Odsekzoznamu"/>
        <w:numPr>
          <w:ilvl w:val="0"/>
          <w:numId w:val="2"/>
        </w:numPr>
        <w:spacing w:after="120"/>
        <w:ind w:left="0" w:hanging="284"/>
        <w:rPr>
          <w:rFonts w:cstheme="minorHAnsi"/>
          <w:sz w:val="21"/>
          <w:szCs w:val="21"/>
          <w:lang w:val="sk-SK"/>
        </w:rPr>
      </w:pPr>
      <w:r w:rsidRPr="001C02A2">
        <w:rPr>
          <w:rFonts w:ascii="Calibri" w:hAnsi="Calibri" w:cs="Calibri"/>
          <w:lang w:val="sk-SK"/>
        </w:rPr>
        <w:t>príkaz adresovaný sudcovi, aby páchateľa vraždy poslal do väzenia</w:t>
      </w:r>
      <w:r w:rsidRPr="001C02A2">
        <w:rPr>
          <w:rFonts w:cs="Calibri"/>
          <w:lang w:val="sk-SK"/>
        </w:rPr>
        <w:t>,</w:t>
      </w:r>
    </w:p>
    <w:p w:rsidR="008F1B01" w:rsidRPr="001C02A2" w:rsidRDefault="008F1B01" w:rsidP="008F1B01">
      <w:pPr>
        <w:numPr>
          <w:ilvl w:val="0"/>
          <w:numId w:val="2"/>
        </w:numPr>
        <w:spacing w:after="120"/>
        <w:ind w:left="0" w:hanging="284"/>
        <w:jc w:val="both"/>
        <w:rPr>
          <w:rFonts w:cstheme="minorHAnsi"/>
          <w:lang w:val="sk-SK"/>
        </w:rPr>
      </w:pPr>
      <w:r w:rsidRPr="001C02A2">
        <w:rPr>
          <w:rFonts w:ascii="Calibri" w:hAnsi="Calibri" w:cs="Calibri"/>
          <w:lang w:val="sk-SK"/>
        </w:rPr>
        <w:t>príkaz adresovaný prokurátorovi a policajtovi, aby páchanie vrážd trestne stíhali</w:t>
      </w:r>
      <w:r w:rsidRPr="001C02A2">
        <w:rPr>
          <w:rFonts w:cs="Calibri"/>
          <w:lang w:val="sk-SK"/>
        </w:rPr>
        <w:t>,</w:t>
      </w:r>
    </w:p>
    <w:p w:rsidR="008F1B01" w:rsidRPr="001C02A2" w:rsidRDefault="008F1B01" w:rsidP="008F1B01">
      <w:pPr>
        <w:numPr>
          <w:ilvl w:val="0"/>
          <w:numId w:val="2"/>
        </w:numPr>
        <w:spacing w:after="120"/>
        <w:ind w:left="0" w:hanging="284"/>
        <w:jc w:val="both"/>
        <w:rPr>
          <w:rFonts w:cstheme="minorHAnsi"/>
          <w:lang w:val="sk-SK"/>
        </w:rPr>
      </w:pPr>
      <w:r w:rsidRPr="001C02A2">
        <w:rPr>
          <w:rFonts w:ascii="Calibri" w:hAnsi="Calibri" w:cs="Calibri"/>
          <w:lang w:val="sk-SK"/>
        </w:rPr>
        <w:t>zákaz adresovaný všetkým fyzickým osobám niekoho úmyselne usmrtiť</w:t>
      </w:r>
      <w:r w:rsidRPr="001C02A2">
        <w:rPr>
          <w:rFonts w:cs="Calibri"/>
          <w:lang w:val="sk-SK"/>
        </w:rPr>
        <w:t>.</w:t>
      </w:r>
    </w:p>
    <w:p w:rsidR="008F1B01" w:rsidRPr="001C02A2" w:rsidRDefault="008F1B01" w:rsidP="002B3376">
      <w:pPr>
        <w:spacing w:after="120"/>
        <w:ind w:left="-284"/>
        <w:rPr>
          <w:rFonts w:cstheme="minorHAnsi"/>
          <w:sz w:val="21"/>
          <w:szCs w:val="21"/>
          <w:lang w:val="sk-SK"/>
        </w:rPr>
        <w:sectPr w:rsidR="008F1B01" w:rsidRPr="001C02A2" w:rsidSect="008F1B01">
          <w:type w:val="continuous"/>
          <w:pgSz w:w="11906" w:h="16838"/>
          <w:pgMar w:top="851" w:right="1274" w:bottom="851" w:left="1440" w:header="708" w:footer="708" w:gutter="0"/>
          <w:cols w:num="2" w:space="708"/>
          <w:docGrid w:linePitch="360"/>
        </w:sectPr>
      </w:pPr>
    </w:p>
    <w:p w:rsidR="008B74CA" w:rsidRPr="001C02A2" w:rsidRDefault="008B74CA" w:rsidP="002B3376">
      <w:pPr>
        <w:spacing w:after="120"/>
        <w:ind w:left="-284"/>
        <w:rPr>
          <w:rFonts w:cstheme="minorHAnsi"/>
          <w:sz w:val="21"/>
          <w:szCs w:val="21"/>
          <w:lang w:val="sk-SK"/>
        </w:rPr>
      </w:pPr>
    </w:p>
    <w:p w:rsidR="008B74CA" w:rsidRPr="001C02A2" w:rsidRDefault="00734AA2" w:rsidP="002B3376">
      <w:pPr>
        <w:spacing w:after="120"/>
        <w:ind w:left="-284"/>
        <w:rPr>
          <w:rFonts w:cstheme="minorHAnsi"/>
          <w:b/>
          <w:sz w:val="21"/>
          <w:szCs w:val="21"/>
          <w:lang w:val="sk-SK"/>
        </w:rPr>
      </w:pPr>
      <w:r w:rsidRPr="001C02A2">
        <w:rPr>
          <w:rFonts w:cstheme="minorHAnsi"/>
          <w:b/>
          <w:sz w:val="21"/>
          <w:szCs w:val="21"/>
          <w:lang w:val="sk-SK"/>
        </w:rPr>
        <w:t>2. Špecifické znaky práva: úvod</w:t>
      </w:r>
    </w:p>
    <w:p w:rsidR="00734AA2" w:rsidRPr="001C02A2" w:rsidRDefault="00832EE8" w:rsidP="002B3376">
      <w:pPr>
        <w:spacing w:after="120"/>
        <w:ind w:left="-284"/>
        <w:rPr>
          <w:rFonts w:cstheme="minorHAnsi"/>
          <w:sz w:val="21"/>
          <w:szCs w:val="21"/>
          <w:lang w:val="sk-SK"/>
        </w:rPr>
      </w:pPr>
      <w:r w:rsidRPr="001C02A2">
        <w:rPr>
          <w:rFonts w:cstheme="minorHAnsi"/>
          <w:sz w:val="21"/>
          <w:szCs w:val="21"/>
          <w:lang w:val="sk-SK"/>
        </w:rPr>
        <w:t>Počnúc antikou ponúkajú rôzni autori veľmi odlišné odpovede na otázku, čo je to právo. Niektorí z nich dokonca navrhujú, aby sme sa touto otázkou vôbec netrápili, pretože v praxi nám stačí poznať iba kritériá platnosti práva používané v rámci konkrétneho právneho poriadku. Špecifické znaky práva sú závislé od perspektívy, cez ktorú sa na právo pozeráme</w:t>
      </w:r>
      <w:r w:rsidR="000A0DEA" w:rsidRPr="001C02A2">
        <w:rPr>
          <w:rFonts w:cstheme="minorHAnsi"/>
          <w:sz w:val="21"/>
          <w:szCs w:val="21"/>
          <w:lang w:val="sk-SK"/>
        </w:rPr>
        <w:t xml:space="preserve">. V dnešných učebniciach sa stále zdôrazňuje najmä spojenie práva s moderným centralizovaným štátom. V tejto perspektíve sú špecifickými znakmi práva tieto: </w:t>
      </w:r>
    </w:p>
    <w:p w:rsidR="000A0DEA" w:rsidRPr="001C02A2" w:rsidRDefault="000A0DEA" w:rsidP="000A0DEA">
      <w:pPr>
        <w:pStyle w:val="Odsekzoznamu"/>
        <w:numPr>
          <w:ilvl w:val="0"/>
          <w:numId w:val="3"/>
        </w:numPr>
        <w:spacing w:after="120"/>
        <w:jc w:val="both"/>
        <w:rPr>
          <w:rFonts w:cstheme="minorHAnsi"/>
          <w:lang w:val="sk-SK"/>
        </w:rPr>
      </w:pPr>
      <w:r w:rsidRPr="001C02A2">
        <w:rPr>
          <w:rFonts w:cstheme="minorHAnsi"/>
          <w:lang w:val="sk-SK"/>
        </w:rPr>
        <w:t>štátom ustanovená alebo štátom uznaná forma</w:t>
      </w:r>
    </w:p>
    <w:p w:rsidR="000A0DEA" w:rsidRPr="001C02A2" w:rsidRDefault="000A0DEA" w:rsidP="000A0DEA">
      <w:pPr>
        <w:pStyle w:val="Odsekzoznamu"/>
        <w:numPr>
          <w:ilvl w:val="0"/>
          <w:numId w:val="3"/>
        </w:numPr>
        <w:spacing w:after="120"/>
        <w:jc w:val="both"/>
        <w:rPr>
          <w:rFonts w:cstheme="minorHAnsi"/>
          <w:lang w:val="sk-SK"/>
        </w:rPr>
      </w:pPr>
      <w:r w:rsidRPr="001C02A2">
        <w:rPr>
          <w:rFonts w:cstheme="minorHAnsi"/>
          <w:lang w:val="sk-SK"/>
        </w:rPr>
        <w:t>všeobecná záväznosť</w:t>
      </w:r>
    </w:p>
    <w:p w:rsidR="000A0DEA" w:rsidRPr="001C02A2" w:rsidRDefault="000A0DEA" w:rsidP="000A0DEA">
      <w:pPr>
        <w:pStyle w:val="Odsekzoznamu"/>
        <w:numPr>
          <w:ilvl w:val="0"/>
          <w:numId w:val="3"/>
        </w:numPr>
        <w:spacing w:after="120"/>
        <w:jc w:val="both"/>
        <w:rPr>
          <w:rFonts w:cstheme="minorHAnsi"/>
          <w:lang w:val="sk-SK"/>
        </w:rPr>
      </w:pPr>
      <w:r w:rsidRPr="001C02A2">
        <w:rPr>
          <w:rFonts w:cstheme="minorHAnsi"/>
          <w:lang w:val="sk-SK"/>
        </w:rPr>
        <w:t>výlučná normativita</w:t>
      </w:r>
    </w:p>
    <w:p w:rsidR="000A0DEA" w:rsidRPr="001C02A2" w:rsidRDefault="000A0DEA" w:rsidP="000A0DEA">
      <w:pPr>
        <w:pStyle w:val="Odsekzoznamu"/>
        <w:numPr>
          <w:ilvl w:val="0"/>
          <w:numId w:val="3"/>
        </w:numPr>
        <w:spacing w:after="120"/>
        <w:jc w:val="both"/>
        <w:rPr>
          <w:rFonts w:cstheme="minorHAnsi"/>
          <w:lang w:val="sk-SK"/>
        </w:rPr>
      </w:pPr>
      <w:r w:rsidRPr="001C02A2">
        <w:rPr>
          <w:rFonts w:cstheme="minorHAnsi"/>
          <w:lang w:val="sk-SK"/>
        </w:rPr>
        <w:t>štátne donútenie.</w:t>
      </w:r>
    </w:p>
    <w:p w:rsidR="000A0DEA" w:rsidRPr="001C02A2" w:rsidRDefault="000A0DEA" w:rsidP="000A0DEA">
      <w:pPr>
        <w:pStyle w:val="Odsekzoznamu"/>
        <w:spacing w:after="120"/>
        <w:jc w:val="both"/>
        <w:rPr>
          <w:rFonts w:cstheme="minorHAnsi"/>
          <w:lang w:val="sk-SK"/>
        </w:rPr>
      </w:pPr>
    </w:p>
    <w:p w:rsidR="000A0DEA" w:rsidRPr="001C02A2" w:rsidRDefault="000A0DEA" w:rsidP="002B3376">
      <w:pPr>
        <w:spacing w:after="120"/>
        <w:ind w:left="-284"/>
        <w:rPr>
          <w:rFonts w:cstheme="minorHAnsi"/>
          <w:b/>
          <w:sz w:val="21"/>
          <w:szCs w:val="21"/>
          <w:lang w:val="sk-SK"/>
        </w:rPr>
      </w:pPr>
      <w:r w:rsidRPr="001C02A2">
        <w:rPr>
          <w:rFonts w:cstheme="minorHAnsi"/>
          <w:b/>
          <w:sz w:val="21"/>
          <w:szCs w:val="21"/>
          <w:lang w:val="sk-SK"/>
        </w:rPr>
        <w:t>2.1 Štátom ustanovená alebo uznaná forma</w:t>
      </w:r>
    </w:p>
    <w:p w:rsidR="000A0DEA" w:rsidRPr="001C02A2" w:rsidRDefault="00916FE8" w:rsidP="002B3376">
      <w:pPr>
        <w:spacing w:after="120"/>
        <w:ind w:left="-284"/>
        <w:rPr>
          <w:rFonts w:cstheme="minorHAnsi"/>
          <w:lang w:val="sk-SK"/>
        </w:rPr>
      </w:pPr>
      <w:r w:rsidRPr="001C02A2">
        <w:rPr>
          <w:rFonts w:cstheme="minorHAnsi"/>
          <w:lang w:val="sk-SK"/>
        </w:rPr>
        <w:t xml:space="preserve">Každý právny systém má svoje vlastné kritériá platnosti, ktoré stanovujú, ktoré normy do tohto systému patria a ktoré nie. Tieto kritériá možno nájsť v súbore právnych pravidiel, ktorý sa v  literatúre zvykne označovať výrazom </w:t>
      </w:r>
      <w:r w:rsidRPr="001C02A2">
        <w:rPr>
          <w:rFonts w:cstheme="minorHAnsi"/>
          <w:b/>
          <w:i/>
          <w:lang w:val="sk-SK"/>
        </w:rPr>
        <w:t>rekogničná norma</w:t>
      </w:r>
      <w:r w:rsidRPr="001C02A2">
        <w:rPr>
          <w:rFonts w:cstheme="minorHAnsi"/>
          <w:lang w:val="sk-SK"/>
        </w:rPr>
        <w:t xml:space="preserve"> alebo </w:t>
      </w:r>
      <w:r w:rsidRPr="001C02A2">
        <w:rPr>
          <w:rFonts w:cstheme="minorHAnsi"/>
          <w:b/>
          <w:i/>
          <w:lang w:val="sk-SK"/>
        </w:rPr>
        <w:t>pravidlo uznania</w:t>
      </w:r>
      <w:r w:rsidRPr="001C02A2">
        <w:rPr>
          <w:rFonts w:cstheme="minorHAnsi"/>
          <w:lang w:val="sk-SK"/>
        </w:rPr>
        <w:t xml:space="preserve">. </w:t>
      </w:r>
    </w:p>
    <w:p w:rsidR="00916FE8" w:rsidRPr="001C02A2" w:rsidRDefault="006C3F9B" w:rsidP="002B3376">
      <w:pPr>
        <w:spacing w:after="120"/>
        <w:ind w:left="-284"/>
        <w:rPr>
          <w:rFonts w:cstheme="minorHAnsi"/>
          <w:lang w:val="sk-SK"/>
        </w:rPr>
      </w:pPr>
      <w:r>
        <w:rPr>
          <w:rFonts w:cstheme="minorHAnsi"/>
          <w:lang w:val="sk-SK"/>
        </w:rPr>
        <w:t>Rekogničná norma môže</w:t>
      </w:r>
      <w:r w:rsidR="00916FE8" w:rsidRPr="001C02A2">
        <w:rPr>
          <w:rFonts w:cstheme="minorHAnsi"/>
          <w:lang w:val="sk-SK"/>
        </w:rPr>
        <w:t xml:space="preserve"> stanoviť, že okrem právnych predpisov bude mať právo aj formu súdnych precedensov či právnych obyčají. Každý z týchto </w:t>
      </w:r>
      <w:r w:rsidR="00916FE8" w:rsidRPr="001C02A2">
        <w:rPr>
          <w:rFonts w:cstheme="minorHAnsi"/>
          <w:b/>
          <w:i/>
          <w:lang w:val="sk-SK"/>
        </w:rPr>
        <w:t>prameňov práva</w:t>
      </w:r>
      <w:r w:rsidR="00916FE8" w:rsidRPr="001C02A2">
        <w:rPr>
          <w:rFonts w:cstheme="minorHAnsi"/>
          <w:lang w:val="sk-SK"/>
        </w:rPr>
        <w:t xml:space="preserve"> má svoje špecifické vlastnosti, ktorými sa budeme zaoberať neskôr. V tejto chvíli je pre nás dôležité, že forma práva stanovená v rekogničnej norme sa týka troch základných otázok:</w:t>
      </w:r>
    </w:p>
    <w:p w:rsidR="00916FE8" w:rsidRPr="001C02A2" w:rsidRDefault="00916FE8" w:rsidP="00916FE8">
      <w:pPr>
        <w:pStyle w:val="Odsekzoznamu"/>
        <w:numPr>
          <w:ilvl w:val="0"/>
          <w:numId w:val="2"/>
        </w:numPr>
        <w:spacing w:after="120"/>
        <w:rPr>
          <w:rFonts w:cstheme="minorHAnsi"/>
          <w:sz w:val="21"/>
          <w:szCs w:val="21"/>
          <w:lang w:val="sk-SK"/>
        </w:rPr>
      </w:pPr>
      <w:r w:rsidRPr="001C02A2">
        <w:rPr>
          <w:rFonts w:cstheme="minorHAnsi"/>
          <w:sz w:val="21"/>
          <w:szCs w:val="21"/>
          <w:lang w:val="sk-SK"/>
        </w:rPr>
        <w:t>kto právo vytvoril (</w:t>
      </w:r>
      <w:r w:rsidRPr="001C02A2">
        <w:rPr>
          <w:rFonts w:cstheme="minorHAnsi"/>
          <w:b/>
          <w:i/>
          <w:sz w:val="21"/>
          <w:szCs w:val="21"/>
          <w:lang w:val="sk-SK"/>
        </w:rPr>
        <w:t>kompetenčný</w:t>
      </w:r>
      <w:r w:rsidRPr="001C02A2">
        <w:rPr>
          <w:rFonts w:cstheme="minorHAnsi"/>
          <w:sz w:val="21"/>
          <w:szCs w:val="21"/>
          <w:lang w:val="sk-SK"/>
        </w:rPr>
        <w:t xml:space="preserve"> rozmer)</w:t>
      </w:r>
    </w:p>
    <w:p w:rsidR="00916FE8" w:rsidRPr="001C02A2" w:rsidRDefault="00916FE8" w:rsidP="00916FE8">
      <w:pPr>
        <w:pStyle w:val="Odsekzoznamu"/>
        <w:numPr>
          <w:ilvl w:val="0"/>
          <w:numId w:val="2"/>
        </w:numPr>
        <w:spacing w:after="120"/>
        <w:rPr>
          <w:rFonts w:cstheme="minorHAnsi"/>
          <w:sz w:val="21"/>
          <w:szCs w:val="21"/>
          <w:lang w:val="sk-SK"/>
        </w:rPr>
      </w:pPr>
      <w:r w:rsidRPr="001C02A2">
        <w:rPr>
          <w:rFonts w:cstheme="minorHAnsi"/>
          <w:sz w:val="21"/>
          <w:szCs w:val="21"/>
          <w:lang w:val="sk-SK"/>
        </w:rPr>
        <w:t>v akej procedúre bolo právo vytvorené (</w:t>
      </w:r>
      <w:r w:rsidRPr="001C02A2">
        <w:rPr>
          <w:rFonts w:cstheme="minorHAnsi"/>
          <w:b/>
          <w:i/>
          <w:sz w:val="21"/>
          <w:szCs w:val="21"/>
          <w:lang w:val="sk-SK"/>
        </w:rPr>
        <w:t>procedurálny</w:t>
      </w:r>
      <w:r w:rsidRPr="001C02A2">
        <w:rPr>
          <w:rFonts w:cstheme="minorHAnsi"/>
          <w:sz w:val="21"/>
          <w:szCs w:val="21"/>
          <w:lang w:val="sk-SK"/>
        </w:rPr>
        <w:t xml:space="preserve"> rozmer)</w:t>
      </w:r>
    </w:p>
    <w:p w:rsidR="00916FE8" w:rsidRPr="001C02A2" w:rsidRDefault="00916FE8" w:rsidP="00916FE8">
      <w:pPr>
        <w:pStyle w:val="Odsekzoznamu"/>
        <w:numPr>
          <w:ilvl w:val="0"/>
          <w:numId w:val="2"/>
        </w:numPr>
        <w:spacing w:after="120"/>
        <w:rPr>
          <w:rFonts w:cstheme="minorHAnsi"/>
          <w:sz w:val="21"/>
          <w:szCs w:val="21"/>
          <w:lang w:val="sk-SK"/>
        </w:rPr>
      </w:pPr>
      <w:r w:rsidRPr="001C02A2">
        <w:rPr>
          <w:rFonts w:cstheme="minorHAnsi"/>
          <w:sz w:val="21"/>
          <w:szCs w:val="21"/>
          <w:lang w:val="sk-SK"/>
        </w:rPr>
        <w:t>akú má právo výslednú podobu (</w:t>
      </w:r>
      <w:proofErr w:type="spellStart"/>
      <w:r w:rsidRPr="001C02A2">
        <w:rPr>
          <w:rFonts w:cstheme="minorHAnsi"/>
          <w:b/>
          <w:i/>
          <w:sz w:val="21"/>
          <w:szCs w:val="21"/>
          <w:lang w:val="sk-SK"/>
        </w:rPr>
        <w:t>rezultatívny</w:t>
      </w:r>
      <w:proofErr w:type="spellEnd"/>
      <w:r w:rsidRPr="001C02A2">
        <w:rPr>
          <w:rFonts w:cstheme="minorHAnsi"/>
          <w:sz w:val="21"/>
          <w:szCs w:val="21"/>
          <w:lang w:val="sk-SK"/>
        </w:rPr>
        <w:t xml:space="preserve"> rozmer).</w:t>
      </w:r>
    </w:p>
    <w:p w:rsidR="00916FE8" w:rsidRPr="001C02A2" w:rsidRDefault="00916FE8" w:rsidP="00916FE8">
      <w:pPr>
        <w:spacing w:after="120"/>
        <w:ind w:left="-284"/>
        <w:rPr>
          <w:rFonts w:cstheme="minorHAnsi"/>
          <w:sz w:val="21"/>
          <w:szCs w:val="21"/>
          <w:lang w:val="sk-SK"/>
        </w:rPr>
      </w:pPr>
      <w:r w:rsidRPr="001C02A2">
        <w:rPr>
          <w:rFonts w:cstheme="minorHAnsi"/>
          <w:sz w:val="21"/>
          <w:szCs w:val="21"/>
          <w:lang w:val="sk-SK"/>
        </w:rPr>
        <w:lastRenderedPageBreak/>
        <w:t>Štát môže formu práva nielen ustanoviť, ale môže ju aj uznávať. Totiž štát môže pomocou svojich orgánov uplatňovať aj také právo, ktoré sám nevytvoril. Takéto prebratie (</w:t>
      </w:r>
      <w:r w:rsidRPr="001C02A2">
        <w:rPr>
          <w:rFonts w:cstheme="minorHAnsi"/>
          <w:b/>
          <w:i/>
          <w:sz w:val="21"/>
          <w:szCs w:val="21"/>
          <w:lang w:val="sk-SK"/>
        </w:rPr>
        <w:t>recepcia</w:t>
      </w:r>
      <w:r w:rsidRPr="001C02A2">
        <w:rPr>
          <w:rFonts w:cstheme="minorHAnsi"/>
          <w:sz w:val="21"/>
          <w:szCs w:val="21"/>
          <w:lang w:val="sk-SK"/>
        </w:rPr>
        <w:t xml:space="preserve">) cudzieho práva môže prebehnúť tak, že štát uzná cudzie právo v jeho pôvodnej forme. </w:t>
      </w:r>
    </w:p>
    <w:p w:rsidR="00827BE4" w:rsidRPr="001C02A2" w:rsidRDefault="00827BE4" w:rsidP="00916FE8">
      <w:pPr>
        <w:spacing w:after="120"/>
        <w:ind w:left="-284"/>
        <w:rPr>
          <w:rFonts w:cstheme="minorHAnsi"/>
          <w:sz w:val="21"/>
          <w:szCs w:val="21"/>
          <w:lang w:val="sk-SK"/>
        </w:rPr>
      </w:pPr>
      <w:r w:rsidRPr="001C02A2">
        <w:rPr>
          <w:rFonts w:cstheme="minorHAnsi"/>
          <w:sz w:val="21"/>
          <w:szCs w:val="21"/>
          <w:lang w:val="sk-SK"/>
        </w:rPr>
        <w:t>Recepcia medzinárodného práva v Ústave SR</w:t>
      </w:r>
      <w:r w:rsidR="007002D7" w:rsidRPr="001C02A2">
        <w:rPr>
          <w:rFonts w:cstheme="minorHAnsi"/>
          <w:sz w:val="21"/>
          <w:szCs w:val="21"/>
          <w:lang w:val="sk-SK"/>
        </w:rPr>
        <w:t>:</w:t>
      </w:r>
    </w:p>
    <w:p w:rsidR="00827BE4" w:rsidRPr="001C02A2" w:rsidRDefault="00827BE4" w:rsidP="00AF4609">
      <w:pPr>
        <w:pBdr>
          <w:top w:val="single" w:sz="4" w:space="1" w:color="auto"/>
          <w:left w:val="single" w:sz="4" w:space="4" w:color="auto"/>
          <w:bottom w:val="single" w:sz="4" w:space="1" w:color="auto"/>
          <w:right w:val="single" w:sz="4" w:space="4" w:color="auto"/>
        </w:pBdr>
        <w:spacing w:after="120"/>
        <w:ind w:left="-284"/>
        <w:rPr>
          <w:rFonts w:cstheme="minorHAnsi"/>
          <w:sz w:val="21"/>
          <w:szCs w:val="21"/>
          <w:lang w:val="sk-SK"/>
        </w:rPr>
      </w:pPr>
      <w:r w:rsidRPr="001C02A2">
        <w:rPr>
          <w:rFonts w:cstheme="minorHAnsi"/>
          <w:sz w:val="21"/>
          <w:szCs w:val="21"/>
          <w:lang w:val="sk-SK"/>
        </w:rPr>
        <w:t>„</w:t>
      </w:r>
      <w:r w:rsidRPr="00827BE4">
        <w:rPr>
          <w:rFonts w:cstheme="minorHAnsi"/>
          <w:i/>
          <w:sz w:val="21"/>
          <w:szCs w:val="21"/>
          <w:lang w:val="sk-SK"/>
        </w:rPr>
        <w:t>Slovenská republika uznáva a dodržiava všeobecné pravidlá medzinárodného práva, medzinárodné zmluvy, ktorými je viazaná, a svoje ďalšie medzinárodné záväzky.</w:t>
      </w:r>
      <w:r w:rsidRPr="001C02A2">
        <w:rPr>
          <w:rFonts w:cstheme="minorHAnsi"/>
          <w:sz w:val="21"/>
          <w:szCs w:val="21"/>
          <w:lang w:val="sk-SK"/>
        </w:rPr>
        <w:t>“ Čl. 1 ods. 2</w:t>
      </w:r>
    </w:p>
    <w:p w:rsidR="00827BE4" w:rsidRPr="001C02A2" w:rsidRDefault="00827BE4" w:rsidP="00827BE4">
      <w:pPr>
        <w:spacing w:after="120"/>
        <w:ind w:left="-284"/>
        <w:rPr>
          <w:rFonts w:cstheme="minorHAnsi"/>
          <w:sz w:val="21"/>
          <w:szCs w:val="21"/>
          <w:lang w:val="sk-SK"/>
        </w:rPr>
      </w:pPr>
      <w:r w:rsidRPr="001C02A2">
        <w:rPr>
          <w:rFonts w:cstheme="minorHAnsi"/>
          <w:sz w:val="21"/>
          <w:szCs w:val="21"/>
          <w:lang w:val="sk-SK"/>
        </w:rPr>
        <w:t>Recepcia práva ČSFR v Ústave SR</w:t>
      </w:r>
      <w:r w:rsidR="007002D7" w:rsidRPr="001C02A2">
        <w:rPr>
          <w:rFonts w:cstheme="minorHAnsi"/>
          <w:sz w:val="21"/>
          <w:szCs w:val="21"/>
          <w:lang w:val="sk-SK"/>
        </w:rPr>
        <w:t>:</w:t>
      </w:r>
    </w:p>
    <w:p w:rsidR="00827BE4" w:rsidRPr="001C02A2" w:rsidRDefault="00827BE4" w:rsidP="00AF4609">
      <w:pPr>
        <w:pBdr>
          <w:top w:val="single" w:sz="4" w:space="1" w:color="auto"/>
          <w:left w:val="single" w:sz="4" w:space="4" w:color="auto"/>
          <w:bottom w:val="single" w:sz="4" w:space="1" w:color="auto"/>
          <w:right w:val="single" w:sz="4" w:space="4" w:color="auto"/>
        </w:pBdr>
        <w:spacing w:after="120"/>
        <w:ind w:left="-284"/>
        <w:rPr>
          <w:rFonts w:cstheme="minorHAnsi"/>
          <w:sz w:val="21"/>
          <w:szCs w:val="21"/>
          <w:lang w:val="sk-SK"/>
        </w:rPr>
      </w:pPr>
      <w:r w:rsidRPr="001C02A2">
        <w:rPr>
          <w:rFonts w:cstheme="minorHAnsi"/>
          <w:sz w:val="21"/>
          <w:szCs w:val="21"/>
          <w:lang w:val="sk-SK"/>
        </w:rPr>
        <w:t>„</w:t>
      </w:r>
      <w:r w:rsidRPr="00827BE4">
        <w:rPr>
          <w:rFonts w:cstheme="minorHAnsi"/>
          <w:i/>
          <w:sz w:val="21"/>
          <w:szCs w:val="21"/>
          <w:lang w:val="sk-SK"/>
        </w:rPr>
        <w:t>Ústavné zákony, zákony a ostatné všeobecne záväzné právne predpisy zostávajú v Slovenskej republike v platnosti, ak neodporujú tejto ústave. Meniť a zrušovať ich môžu príslušné orgány Slovenskej republiky.</w:t>
      </w:r>
      <w:r w:rsidRPr="001C02A2">
        <w:rPr>
          <w:rFonts w:cstheme="minorHAnsi"/>
          <w:sz w:val="21"/>
          <w:szCs w:val="21"/>
          <w:lang w:val="sk-SK"/>
        </w:rPr>
        <w:t>“ Čl. 153 ods. 1</w:t>
      </w:r>
    </w:p>
    <w:p w:rsidR="00827BE4" w:rsidRPr="001C02A2" w:rsidRDefault="00827BE4" w:rsidP="00827BE4">
      <w:pPr>
        <w:spacing w:after="120"/>
        <w:ind w:left="-284"/>
        <w:rPr>
          <w:rFonts w:cstheme="minorHAnsi"/>
          <w:sz w:val="21"/>
          <w:szCs w:val="21"/>
          <w:lang w:val="sk-SK"/>
        </w:rPr>
      </w:pPr>
      <w:r w:rsidRPr="001C02A2">
        <w:rPr>
          <w:rFonts w:cstheme="minorHAnsi"/>
          <w:sz w:val="21"/>
          <w:szCs w:val="21"/>
          <w:u w:val="single"/>
          <w:lang w:val="sk-SK"/>
        </w:rPr>
        <w:t>Poznámka</w:t>
      </w:r>
      <w:r w:rsidRPr="001C02A2">
        <w:rPr>
          <w:rFonts w:cstheme="minorHAnsi"/>
          <w:sz w:val="21"/>
          <w:szCs w:val="21"/>
          <w:lang w:val="sk-SK"/>
        </w:rPr>
        <w:t xml:space="preserve">: Jusnaturalisti/nonpozitivisti popierajú, že štátom ustanovená alebo uznaná forma je nevyhnutným znakom práva. Napríklad </w:t>
      </w:r>
      <w:proofErr w:type="spellStart"/>
      <w:r w:rsidRPr="001C02A2">
        <w:rPr>
          <w:rFonts w:cstheme="minorHAnsi"/>
          <w:i/>
          <w:sz w:val="21"/>
          <w:szCs w:val="21"/>
          <w:lang w:val="sk-SK"/>
        </w:rPr>
        <w:t>Ronald</w:t>
      </w:r>
      <w:proofErr w:type="spellEnd"/>
      <w:r w:rsidRPr="001C02A2">
        <w:rPr>
          <w:rFonts w:cstheme="minorHAnsi"/>
          <w:i/>
          <w:sz w:val="21"/>
          <w:szCs w:val="21"/>
          <w:lang w:val="sk-SK"/>
        </w:rPr>
        <w:t xml:space="preserve"> Dworkin</w:t>
      </w:r>
      <w:r w:rsidRPr="001C02A2">
        <w:rPr>
          <w:rFonts w:cstheme="minorHAnsi"/>
          <w:sz w:val="21"/>
          <w:szCs w:val="21"/>
          <w:lang w:val="sk-SK"/>
        </w:rPr>
        <w:t xml:space="preserve"> tvrdí, že </w:t>
      </w:r>
      <w:r w:rsidRPr="001C02A2">
        <w:rPr>
          <w:rFonts w:cstheme="minorHAnsi"/>
          <w:b/>
          <w:i/>
          <w:sz w:val="21"/>
          <w:szCs w:val="21"/>
          <w:lang w:val="sk-SK"/>
        </w:rPr>
        <w:t>právne princípy</w:t>
      </w:r>
      <w:r w:rsidRPr="001C02A2">
        <w:rPr>
          <w:rFonts w:cstheme="minorHAnsi"/>
          <w:sz w:val="21"/>
          <w:szCs w:val="21"/>
          <w:lang w:val="sk-SK"/>
        </w:rPr>
        <w:t xml:space="preserve"> sú platné z dôvodu, že sú spravodlivé, nie z dôvodu, že ich stanovil alebo uznal štát. </w:t>
      </w:r>
    </w:p>
    <w:p w:rsidR="007002D7" w:rsidRPr="001C02A2" w:rsidRDefault="007002D7" w:rsidP="00827BE4">
      <w:pPr>
        <w:spacing w:after="120"/>
        <w:ind w:left="-284"/>
        <w:rPr>
          <w:rFonts w:cstheme="minorHAnsi"/>
          <w:sz w:val="21"/>
          <w:szCs w:val="21"/>
          <w:lang w:val="sk-SK"/>
        </w:rPr>
      </w:pPr>
    </w:p>
    <w:p w:rsidR="00827BE4" w:rsidRPr="001C02A2" w:rsidRDefault="00827BE4" w:rsidP="00827BE4">
      <w:pPr>
        <w:spacing w:after="120"/>
        <w:ind w:left="-284"/>
        <w:rPr>
          <w:rFonts w:cstheme="minorHAnsi"/>
          <w:b/>
          <w:sz w:val="21"/>
          <w:szCs w:val="21"/>
          <w:lang w:val="sk-SK"/>
        </w:rPr>
      </w:pPr>
      <w:r w:rsidRPr="001C02A2">
        <w:rPr>
          <w:rFonts w:cstheme="minorHAnsi"/>
          <w:b/>
          <w:sz w:val="21"/>
          <w:szCs w:val="21"/>
          <w:lang w:val="sk-SK"/>
        </w:rPr>
        <w:t xml:space="preserve">2.2 </w:t>
      </w:r>
      <w:r w:rsidR="007002D7" w:rsidRPr="001C02A2">
        <w:rPr>
          <w:rFonts w:cstheme="minorHAnsi"/>
          <w:b/>
          <w:sz w:val="21"/>
          <w:szCs w:val="21"/>
          <w:lang w:val="sk-SK"/>
        </w:rPr>
        <w:t>Všeobecná záväznosť</w:t>
      </w:r>
    </w:p>
    <w:p w:rsidR="007002D7" w:rsidRPr="001C02A2" w:rsidRDefault="007002D7" w:rsidP="00827BE4">
      <w:pPr>
        <w:spacing w:after="120"/>
        <w:ind w:left="-284"/>
        <w:rPr>
          <w:rFonts w:cstheme="minorHAnsi"/>
          <w:lang w:val="sk-SK"/>
        </w:rPr>
      </w:pPr>
      <w:r w:rsidRPr="001C02A2">
        <w:rPr>
          <w:rFonts w:cstheme="minorHAnsi"/>
          <w:b/>
          <w:i/>
          <w:lang w:val="sk-SK"/>
        </w:rPr>
        <w:t>Záväznosť</w:t>
      </w:r>
      <w:r w:rsidRPr="001C02A2">
        <w:rPr>
          <w:rFonts w:cstheme="minorHAnsi"/>
          <w:lang w:val="sk-SK"/>
        </w:rPr>
        <w:t xml:space="preserve"> </w:t>
      </w:r>
      <w:r w:rsidR="0021749F" w:rsidRPr="001C02A2">
        <w:rPr>
          <w:rFonts w:cstheme="minorHAnsi"/>
          <w:lang w:val="sk-SK"/>
        </w:rPr>
        <w:t xml:space="preserve"> </w:t>
      </w:r>
      <w:r w:rsidRPr="001C02A2">
        <w:rPr>
          <w:rFonts w:cstheme="minorHAnsi"/>
          <w:lang w:val="sk-SK"/>
        </w:rPr>
        <w:t xml:space="preserve">je funkciou platnosti a účinnosti právnej normy a spočíva v tom, že platná a účinná právna norma predpisuje adresátom práva, ako majú konať, pod </w:t>
      </w:r>
      <w:r w:rsidR="0021749F" w:rsidRPr="001C02A2">
        <w:rPr>
          <w:rFonts w:cstheme="minorHAnsi"/>
          <w:lang w:val="sk-SK"/>
        </w:rPr>
        <w:t>hrozbou sankcie za neposlušnosť</w:t>
      </w:r>
      <w:r w:rsidRPr="001C02A2">
        <w:rPr>
          <w:rFonts w:cstheme="minorHAnsi"/>
          <w:lang w:val="sk-SK"/>
        </w:rPr>
        <w:t>.</w:t>
      </w:r>
    </w:p>
    <w:p w:rsidR="007002D7" w:rsidRPr="00827BE4" w:rsidRDefault="007002D7" w:rsidP="00827BE4">
      <w:pPr>
        <w:spacing w:after="120"/>
        <w:ind w:left="-284"/>
        <w:rPr>
          <w:rFonts w:cstheme="minorHAnsi"/>
          <w:sz w:val="21"/>
          <w:szCs w:val="21"/>
          <w:lang w:val="sk-SK"/>
        </w:rPr>
      </w:pPr>
      <w:r w:rsidRPr="001C02A2">
        <w:rPr>
          <w:rFonts w:cstheme="minorHAnsi"/>
          <w:b/>
          <w:i/>
          <w:lang w:val="sk-SK"/>
        </w:rPr>
        <w:t>Všeobecnosť</w:t>
      </w:r>
      <w:r w:rsidR="0021749F" w:rsidRPr="001C02A2">
        <w:rPr>
          <w:rFonts w:cstheme="minorHAnsi"/>
          <w:lang w:val="sk-SK"/>
        </w:rPr>
        <w:t xml:space="preserve">  </w:t>
      </w:r>
      <w:r w:rsidRPr="001C02A2">
        <w:rPr>
          <w:rFonts w:cstheme="minorHAnsi"/>
          <w:lang w:val="sk-SK"/>
        </w:rPr>
        <w:t xml:space="preserve">znamená, že predmet právnej normy a rovnako tak aj jej adresát musí byť vymedzený </w:t>
      </w:r>
      <w:r w:rsidRPr="001C02A2">
        <w:rPr>
          <w:rFonts w:cstheme="minorHAnsi"/>
          <w:b/>
          <w:i/>
          <w:lang w:val="sk-SK"/>
        </w:rPr>
        <w:t>druhovými znakmi</w:t>
      </w:r>
      <w:r w:rsidRPr="001C02A2">
        <w:rPr>
          <w:rFonts w:cstheme="minorHAnsi"/>
          <w:lang w:val="sk-SK"/>
        </w:rPr>
        <w:t>, nie znakmi individuálnymi.</w:t>
      </w:r>
    </w:p>
    <w:p w:rsidR="007002D7" w:rsidRPr="001C02A2" w:rsidRDefault="007002D7" w:rsidP="007002D7">
      <w:pPr>
        <w:spacing w:after="120"/>
        <w:ind w:left="-284"/>
        <w:rPr>
          <w:rFonts w:cstheme="minorHAnsi"/>
          <w:lang w:val="sk-SK"/>
        </w:rPr>
      </w:pPr>
      <w:r w:rsidRPr="001C02A2">
        <w:rPr>
          <w:rFonts w:cstheme="minorHAnsi"/>
          <w:lang w:val="sk-SK"/>
        </w:rPr>
        <w:t xml:space="preserve">Druhové znaky môžu byť vymedzené s rôznou mierou abstrakcie, a preto kvalita všeobecnosti práva môže byť naplnená v rôznom stupni: niektoré pravidlá sú formulované do </w:t>
      </w:r>
      <w:r w:rsidR="0021749F" w:rsidRPr="001C02A2">
        <w:rPr>
          <w:rFonts w:cstheme="minorHAnsi"/>
          <w:lang w:val="sk-SK"/>
        </w:rPr>
        <w:t>detailu</w:t>
      </w:r>
      <w:r w:rsidRPr="001C02A2">
        <w:rPr>
          <w:rFonts w:cstheme="minorHAnsi"/>
          <w:lang w:val="sk-SK"/>
        </w:rPr>
        <w:t xml:space="preserve">, iné sú zas príliš vágne, jeden zákon je </w:t>
      </w:r>
      <w:proofErr w:type="spellStart"/>
      <w:r w:rsidRPr="001C02A2">
        <w:rPr>
          <w:rFonts w:cstheme="minorHAnsi"/>
          <w:b/>
          <w:i/>
          <w:lang w:val="sk-SK"/>
        </w:rPr>
        <w:t>lex</w:t>
      </w:r>
      <w:proofErr w:type="spellEnd"/>
      <w:r w:rsidRPr="001C02A2">
        <w:rPr>
          <w:rFonts w:cstheme="minorHAnsi"/>
          <w:b/>
          <w:i/>
          <w:lang w:val="sk-SK"/>
        </w:rPr>
        <w:t xml:space="preserve"> </w:t>
      </w:r>
      <w:proofErr w:type="spellStart"/>
      <w:r w:rsidRPr="001C02A2">
        <w:rPr>
          <w:rFonts w:cstheme="minorHAnsi"/>
          <w:b/>
          <w:i/>
          <w:lang w:val="sk-SK"/>
        </w:rPr>
        <w:t>specialis</w:t>
      </w:r>
      <w:proofErr w:type="spellEnd"/>
      <w:r w:rsidRPr="001C02A2">
        <w:rPr>
          <w:rFonts w:cstheme="minorHAnsi"/>
          <w:lang w:val="sk-SK"/>
        </w:rPr>
        <w:t xml:space="preserve">, druhý </w:t>
      </w:r>
      <w:proofErr w:type="spellStart"/>
      <w:r w:rsidRPr="001C02A2">
        <w:rPr>
          <w:rFonts w:cstheme="minorHAnsi"/>
          <w:b/>
          <w:i/>
          <w:lang w:val="sk-SK"/>
        </w:rPr>
        <w:t>lex</w:t>
      </w:r>
      <w:proofErr w:type="spellEnd"/>
      <w:r w:rsidRPr="001C02A2">
        <w:rPr>
          <w:rFonts w:cstheme="minorHAnsi"/>
          <w:b/>
          <w:i/>
          <w:lang w:val="sk-SK"/>
        </w:rPr>
        <w:t xml:space="preserve"> </w:t>
      </w:r>
      <w:proofErr w:type="spellStart"/>
      <w:r w:rsidRPr="001C02A2">
        <w:rPr>
          <w:rFonts w:cstheme="minorHAnsi"/>
          <w:b/>
          <w:i/>
          <w:lang w:val="sk-SK"/>
        </w:rPr>
        <w:t>generalis</w:t>
      </w:r>
      <w:proofErr w:type="spellEnd"/>
      <w:r w:rsidR="006C3F9B">
        <w:rPr>
          <w:rFonts w:cstheme="minorHAnsi"/>
          <w:lang w:val="sk-SK"/>
        </w:rPr>
        <w:t>. Všimnime si</w:t>
      </w:r>
      <w:r w:rsidRPr="001C02A2">
        <w:rPr>
          <w:rFonts w:cstheme="minorHAnsi"/>
          <w:lang w:val="sk-SK"/>
        </w:rPr>
        <w:t xml:space="preserve"> rôznu mieru všeobecnosti pri vymedzení </w:t>
      </w:r>
      <w:r w:rsidR="00C43CE8" w:rsidRPr="001C02A2">
        <w:rPr>
          <w:rFonts w:cstheme="minorHAnsi"/>
          <w:lang w:val="sk-SK"/>
        </w:rPr>
        <w:t xml:space="preserve">fiktívneho </w:t>
      </w:r>
      <w:r w:rsidRPr="001C02A2">
        <w:rPr>
          <w:rFonts w:cstheme="minorHAnsi"/>
          <w:lang w:val="sk-SK"/>
        </w:rPr>
        <w:t>subjektu v nasledujúcom príklade:</w:t>
      </w:r>
    </w:p>
    <w:p w:rsidR="007002D7" w:rsidRPr="001C02A2" w:rsidRDefault="007002D7" w:rsidP="007002D7">
      <w:pPr>
        <w:spacing w:after="120"/>
        <w:jc w:val="both"/>
        <w:rPr>
          <w:rFonts w:cstheme="minorHAnsi"/>
          <w:lang w:val="sk-SK"/>
        </w:rPr>
        <w:sectPr w:rsidR="007002D7" w:rsidRPr="001C02A2" w:rsidSect="00832EE8">
          <w:type w:val="continuous"/>
          <w:pgSz w:w="11906" w:h="16838"/>
          <w:pgMar w:top="851" w:right="1274" w:bottom="851" w:left="1440" w:header="708" w:footer="708" w:gutter="0"/>
          <w:cols w:space="708"/>
          <w:docGrid w:linePitch="360"/>
        </w:sectPr>
      </w:pPr>
    </w:p>
    <w:p w:rsidR="007002D7" w:rsidRPr="001C02A2" w:rsidRDefault="007002D7" w:rsidP="007002D7">
      <w:pPr>
        <w:pStyle w:val="Odsekzoznamu"/>
        <w:numPr>
          <w:ilvl w:val="0"/>
          <w:numId w:val="3"/>
        </w:numPr>
        <w:spacing w:after="120"/>
        <w:ind w:left="426" w:hanging="426"/>
        <w:jc w:val="both"/>
        <w:rPr>
          <w:rFonts w:cstheme="minorHAnsi"/>
          <w:lang w:val="sk-SK"/>
        </w:rPr>
      </w:pPr>
      <w:r w:rsidRPr="001C02A2">
        <w:rPr>
          <w:rFonts w:cstheme="minorHAnsi"/>
          <w:lang w:val="sk-SK"/>
        </w:rPr>
        <w:lastRenderedPageBreak/>
        <w:t>každý</w:t>
      </w:r>
    </w:p>
    <w:p w:rsidR="007002D7" w:rsidRPr="001C02A2" w:rsidRDefault="007002D7" w:rsidP="007002D7">
      <w:pPr>
        <w:pStyle w:val="Odsekzoznamu"/>
        <w:numPr>
          <w:ilvl w:val="0"/>
          <w:numId w:val="3"/>
        </w:numPr>
        <w:spacing w:after="120"/>
        <w:ind w:left="426" w:hanging="426"/>
        <w:jc w:val="both"/>
        <w:rPr>
          <w:rFonts w:cstheme="minorHAnsi"/>
          <w:lang w:val="sk-SK"/>
        </w:rPr>
      </w:pPr>
      <w:r w:rsidRPr="001C02A2">
        <w:rPr>
          <w:rFonts w:cstheme="minorHAnsi"/>
          <w:lang w:val="sk-SK"/>
        </w:rPr>
        <w:t>spotrebiteľ</w:t>
      </w:r>
    </w:p>
    <w:p w:rsidR="007002D7" w:rsidRPr="001C02A2" w:rsidRDefault="007002D7" w:rsidP="007002D7">
      <w:pPr>
        <w:pStyle w:val="Odsekzoznamu"/>
        <w:numPr>
          <w:ilvl w:val="0"/>
          <w:numId w:val="3"/>
        </w:numPr>
        <w:spacing w:after="120"/>
        <w:ind w:left="426" w:hanging="426"/>
        <w:jc w:val="both"/>
        <w:rPr>
          <w:rFonts w:cstheme="minorHAnsi"/>
          <w:lang w:val="sk-SK"/>
        </w:rPr>
      </w:pPr>
      <w:r w:rsidRPr="001C02A2">
        <w:rPr>
          <w:rFonts w:cstheme="minorHAnsi"/>
          <w:lang w:val="sk-SK"/>
        </w:rPr>
        <w:t>spotrebiteľ tovarov</w:t>
      </w:r>
    </w:p>
    <w:p w:rsidR="007002D7" w:rsidRPr="001C02A2" w:rsidRDefault="007002D7" w:rsidP="007002D7">
      <w:pPr>
        <w:pStyle w:val="Odsekzoznamu"/>
        <w:numPr>
          <w:ilvl w:val="0"/>
          <w:numId w:val="3"/>
        </w:numPr>
        <w:spacing w:after="120"/>
        <w:ind w:left="426" w:hanging="426"/>
        <w:jc w:val="both"/>
        <w:rPr>
          <w:rFonts w:cstheme="minorHAnsi"/>
          <w:lang w:val="sk-SK"/>
        </w:rPr>
      </w:pPr>
      <w:r w:rsidRPr="001C02A2">
        <w:rPr>
          <w:rFonts w:cstheme="minorHAnsi"/>
          <w:lang w:val="sk-SK"/>
        </w:rPr>
        <w:t>spotrebiteľ potravín</w:t>
      </w:r>
    </w:p>
    <w:p w:rsidR="007002D7" w:rsidRPr="001C02A2" w:rsidRDefault="007002D7" w:rsidP="007002D7">
      <w:pPr>
        <w:pStyle w:val="Odsekzoznamu"/>
        <w:numPr>
          <w:ilvl w:val="0"/>
          <w:numId w:val="3"/>
        </w:numPr>
        <w:spacing w:after="120"/>
        <w:ind w:left="426" w:hanging="426"/>
        <w:jc w:val="both"/>
        <w:rPr>
          <w:rFonts w:cstheme="minorHAnsi"/>
          <w:lang w:val="sk-SK"/>
        </w:rPr>
      </w:pPr>
      <w:r w:rsidRPr="001C02A2">
        <w:rPr>
          <w:rFonts w:cstheme="minorHAnsi"/>
          <w:lang w:val="sk-SK"/>
        </w:rPr>
        <w:t>spotrebiteľ ovocia</w:t>
      </w:r>
    </w:p>
    <w:p w:rsidR="00827BE4" w:rsidRPr="001C02A2" w:rsidRDefault="007002D7" w:rsidP="00C43CE8">
      <w:pPr>
        <w:pStyle w:val="Odsekzoznamu"/>
        <w:numPr>
          <w:ilvl w:val="0"/>
          <w:numId w:val="3"/>
        </w:numPr>
        <w:spacing w:after="120"/>
        <w:ind w:left="426" w:hanging="426"/>
        <w:rPr>
          <w:rFonts w:cstheme="minorHAnsi"/>
          <w:sz w:val="21"/>
          <w:szCs w:val="21"/>
          <w:lang w:val="sk-SK"/>
        </w:rPr>
      </w:pPr>
      <w:r w:rsidRPr="001C02A2">
        <w:rPr>
          <w:rFonts w:cstheme="minorHAnsi"/>
          <w:lang w:val="sk-SK"/>
        </w:rPr>
        <w:t>spotrebiteľ ovocia vypestovaného v krajinách, ktorých územie má tvar čižmy.</w:t>
      </w:r>
      <w:r w:rsidRPr="001C02A2">
        <w:rPr>
          <w:rFonts w:cstheme="minorHAnsi"/>
          <w:lang w:val="sk-SK"/>
        </w:rPr>
        <w:br w:type="column"/>
      </w:r>
      <w:r w:rsidRPr="001C02A2">
        <w:rPr>
          <w:rFonts w:cstheme="minorHAnsi"/>
          <w:noProof/>
          <w:sz w:val="21"/>
          <w:szCs w:val="21"/>
          <w:lang w:eastAsia="en-GB"/>
        </w:rPr>
        <w:lastRenderedPageBreak/>
        <w:drawing>
          <wp:inline distT="0" distB="0" distL="0" distR="0" wp14:anchorId="6E1D9C1B" wp14:editId="00FAA9B4">
            <wp:extent cx="1390650" cy="1460500"/>
            <wp:effectExtent l="0" t="0" r="0" b="635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y.jpg"/>
                    <pic:cNvPicPr/>
                  </pic:nvPicPr>
                  <pic:blipFill>
                    <a:blip r:embed="rId10">
                      <a:extLst>
                        <a:ext uri="{28A0092B-C50C-407E-A947-70E740481C1C}">
                          <a14:useLocalDpi xmlns:a14="http://schemas.microsoft.com/office/drawing/2010/main" val="0"/>
                        </a:ext>
                      </a:extLst>
                    </a:blip>
                    <a:stretch>
                      <a:fillRect/>
                    </a:stretch>
                  </pic:blipFill>
                  <pic:spPr>
                    <a:xfrm>
                      <a:off x="0" y="0"/>
                      <a:ext cx="1390650" cy="1460500"/>
                    </a:xfrm>
                    <a:prstGeom prst="rect">
                      <a:avLst/>
                    </a:prstGeom>
                  </pic:spPr>
                </pic:pic>
              </a:graphicData>
            </a:graphic>
          </wp:inline>
        </w:drawing>
      </w:r>
    </w:p>
    <w:p w:rsidR="007002D7" w:rsidRPr="001C02A2" w:rsidRDefault="007002D7" w:rsidP="002B3376">
      <w:pPr>
        <w:spacing w:after="120"/>
        <w:ind w:left="-284"/>
        <w:rPr>
          <w:rFonts w:cstheme="minorHAnsi"/>
          <w:sz w:val="21"/>
          <w:szCs w:val="21"/>
          <w:lang w:val="sk-SK"/>
        </w:rPr>
        <w:sectPr w:rsidR="007002D7" w:rsidRPr="001C02A2" w:rsidSect="007002D7">
          <w:type w:val="continuous"/>
          <w:pgSz w:w="11906" w:h="16838"/>
          <w:pgMar w:top="851" w:right="1274" w:bottom="851" w:left="1440" w:header="708" w:footer="708" w:gutter="0"/>
          <w:cols w:num="2" w:space="708"/>
          <w:docGrid w:linePitch="360"/>
        </w:sectPr>
      </w:pPr>
    </w:p>
    <w:p w:rsidR="00AF4609" w:rsidRPr="001C02A2" w:rsidRDefault="00C43CE8" w:rsidP="00E9578F">
      <w:pPr>
        <w:spacing w:after="120"/>
        <w:ind w:left="-284"/>
        <w:rPr>
          <w:rFonts w:cstheme="minorHAnsi"/>
          <w:lang w:val="sk-SK"/>
        </w:rPr>
      </w:pPr>
      <w:r w:rsidRPr="001C02A2">
        <w:rPr>
          <w:rFonts w:cstheme="minorHAnsi"/>
          <w:sz w:val="21"/>
          <w:szCs w:val="21"/>
          <w:lang w:val="sk-SK"/>
        </w:rPr>
        <w:lastRenderedPageBreak/>
        <w:t>Vymedzenie posledného z menovaných subjektov je zaujímavé</w:t>
      </w:r>
      <w:r w:rsidR="00E9578F" w:rsidRPr="001C02A2">
        <w:rPr>
          <w:rFonts w:cstheme="minorHAnsi"/>
          <w:sz w:val="21"/>
          <w:szCs w:val="21"/>
          <w:lang w:val="sk-SK"/>
        </w:rPr>
        <w:t>, pretože v ňom druhové znaky (</w:t>
      </w:r>
      <w:r w:rsidRPr="001C02A2">
        <w:rPr>
          <w:rFonts w:cstheme="minorHAnsi"/>
          <w:sz w:val="21"/>
          <w:szCs w:val="21"/>
          <w:lang w:val="sk-SK"/>
        </w:rPr>
        <w:t xml:space="preserve">všetky </w:t>
      </w:r>
      <w:r w:rsidR="00E9578F" w:rsidRPr="001C02A2">
        <w:rPr>
          <w:rFonts w:cstheme="minorHAnsi"/>
          <w:sz w:val="21"/>
          <w:szCs w:val="21"/>
          <w:lang w:val="sk-SK"/>
        </w:rPr>
        <w:t>krajiny s územím v tvare čižmy) nahrádzajú znaky individuálne (Taliansko).</w:t>
      </w:r>
      <w:r w:rsidRPr="001C02A2">
        <w:rPr>
          <w:rFonts w:cstheme="minorHAnsi"/>
          <w:sz w:val="21"/>
          <w:szCs w:val="21"/>
          <w:lang w:val="sk-SK"/>
        </w:rPr>
        <w:t xml:space="preserve"> </w:t>
      </w:r>
      <w:r w:rsidR="0021749F" w:rsidRPr="001C02A2">
        <w:rPr>
          <w:rFonts w:cstheme="minorHAnsi"/>
          <w:sz w:val="21"/>
          <w:szCs w:val="21"/>
          <w:lang w:val="sk-SK"/>
        </w:rPr>
        <w:t xml:space="preserve">Všeobecnosť normy preto nie je len o jej jazykovom vyjadrení, ale aj o jej skutočných dopadoch: </w:t>
      </w:r>
      <w:r w:rsidR="0021749F" w:rsidRPr="001C02A2">
        <w:rPr>
          <w:rFonts w:cstheme="minorHAnsi"/>
          <w:i/>
          <w:lang w:val="sk-SK"/>
        </w:rPr>
        <w:t>R</w:t>
      </w:r>
      <w:r w:rsidR="00AF4609" w:rsidRPr="001C02A2">
        <w:rPr>
          <w:rFonts w:cstheme="minorHAnsi"/>
          <w:i/>
          <w:lang w:val="sk-SK"/>
        </w:rPr>
        <w:t xml:space="preserve">ozdiel medzi individuálnym rozhodnutím a všeobecným pravidlom </w:t>
      </w:r>
      <w:r w:rsidR="0021749F" w:rsidRPr="001C02A2">
        <w:rPr>
          <w:rFonts w:cstheme="minorHAnsi"/>
          <w:i/>
          <w:lang w:val="sk-SK"/>
        </w:rPr>
        <w:t xml:space="preserve">sa </w:t>
      </w:r>
      <w:r w:rsidR="00AF4609" w:rsidRPr="001C02A2">
        <w:rPr>
          <w:rFonts w:cstheme="minorHAnsi"/>
          <w:i/>
          <w:lang w:val="sk-SK"/>
        </w:rPr>
        <w:t xml:space="preserve">prejavuje tak, že to prvé sa dotýka uzavretej množiny prvkov, zatiaľ čo to druhé platí pre </w:t>
      </w:r>
      <w:r w:rsidR="00AF4609" w:rsidRPr="001C02A2">
        <w:rPr>
          <w:rFonts w:cstheme="minorHAnsi"/>
          <w:b/>
          <w:i/>
          <w:lang w:val="sk-SK"/>
        </w:rPr>
        <w:t>otvorenú množinu</w:t>
      </w:r>
      <w:r w:rsidR="00AF4609" w:rsidRPr="001C02A2">
        <w:rPr>
          <w:rFonts w:cstheme="minorHAnsi"/>
          <w:lang w:val="sk-SK"/>
        </w:rPr>
        <w:t xml:space="preserve">. </w:t>
      </w:r>
    </w:p>
    <w:p w:rsidR="0021749F" w:rsidRPr="001C02A2" w:rsidRDefault="0021749F" w:rsidP="00E9578F">
      <w:pPr>
        <w:spacing w:after="120"/>
        <w:ind w:left="-284"/>
        <w:rPr>
          <w:rFonts w:cstheme="minorHAnsi"/>
          <w:lang w:val="sk-SK"/>
        </w:rPr>
      </w:pPr>
      <w:r w:rsidRPr="001C02A2">
        <w:rPr>
          <w:rFonts w:cstheme="minorHAnsi"/>
          <w:lang w:val="sk-SK"/>
        </w:rPr>
        <w:t xml:space="preserve">Napokon všeobecnosť práva sa dotýka aj </w:t>
      </w:r>
      <w:r w:rsidRPr="001C02A2">
        <w:rPr>
          <w:rFonts w:cstheme="minorHAnsi"/>
          <w:b/>
          <w:i/>
          <w:lang w:val="sk-SK"/>
        </w:rPr>
        <w:t>hodnoty rovnosti</w:t>
      </w:r>
      <w:r w:rsidRPr="001C02A2">
        <w:rPr>
          <w:rFonts w:cstheme="minorHAnsi"/>
          <w:lang w:val="sk-SK"/>
        </w:rPr>
        <w:t xml:space="preserve">. </w:t>
      </w:r>
      <w:r w:rsidR="0035646D" w:rsidRPr="001C02A2">
        <w:rPr>
          <w:rFonts w:cstheme="minorHAnsi"/>
          <w:lang w:val="sk-SK"/>
        </w:rPr>
        <w:t>Ak pravidlo neodôvodnene diskriminuje, nie je dostatočne všeobecné a v konečnom dôsledku môže byť aj protiústavné.</w:t>
      </w:r>
    </w:p>
    <w:p w:rsidR="00D64F43" w:rsidRPr="001C02A2" w:rsidRDefault="0035646D" w:rsidP="00E9578F">
      <w:pPr>
        <w:spacing w:after="120"/>
        <w:ind w:left="-284"/>
        <w:rPr>
          <w:rFonts w:cstheme="minorHAnsi"/>
          <w:lang w:val="sk-SK"/>
        </w:rPr>
      </w:pPr>
      <w:r w:rsidRPr="001C02A2">
        <w:rPr>
          <w:rFonts w:cstheme="minorHAnsi"/>
          <w:u w:val="single"/>
          <w:lang w:val="sk-SK"/>
        </w:rPr>
        <w:t>Zhrnutie</w:t>
      </w:r>
      <w:r w:rsidRPr="001C02A2">
        <w:rPr>
          <w:rFonts w:cstheme="minorHAnsi"/>
          <w:lang w:val="sk-SK"/>
        </w:rPr>
        <w:t xml:space="preserve">: Právne pravidlo je všeobecné: </w:t>
      </w:r>
      <w:r w:rsidRPr="001C02A2">
        <w:rPr>
          <w:rFonts w:cstheme="minorHAnsi"/>
          <w:b/>
          <w:lang w:val="sk-SK"/>
        </w:rPr>
        <w:t>i)</w:t>
      </w:r>
      <w:r w:rsidRPr="001C02A2">
        <w:rPr>
          <w:rFonts w:cstheme="minorHAnsi"/>
          <w:lang w:val="sk-SK"/>
        </w:rPr>
        <w:t xml:space="preserve"> keď je vyjadrené v druhových znakoch, </w:t>
      </w:r>
      <w:proofErr w:type="spellStart"/>
      <w:r w:rsidRPr="001C02A2">
        <w:rPr>
          <w:rFonts w:cstheme="minorHAnsi"/>
          <w:b/>
          <w:lang w:val="sk-SK"/>
        </w:rPr>
        <w:t>ii</w:t>
      </w:r>
      <w:proofErr w:type="spellEnd"/>
      <w:r w:rsidRPr="001C02A2">
        <w:rPr>
          <w:rFonts w:cstheme="minorHAnsi"/>
          <w:b/>
          <w:lang w:val="sk-SK"/>
        </w:rPr>
        <w:t>)</w:t>
      </w:r>
      <w:r w:rsidRPr="001C02A2">
        <w:rPr>
          <w:rFonts w:cstheme="minorHAnsi"/>
          <w:lang w:val="sk-SK"/>
        </w:rPr>
        <w:t xml:space="preserve"> keď jeho spoločenské účinky dopadajú na otvorenú množinu prvkov, </w:t>
      </w:r>
      <w:proofErr w:type="spellStart"/>
      <w:r w:rsidRPr="001C02A2">
        <w:rPr>
          <w:rFonts w:cstheme="minorHAnsi"/>
          <w:b/>
          <w:lang w:val="sk-SK"/>
        </w:rPr>
        <w:t>iii</w:t>
      </w:r>
      <w:proofErr w:type="spellEnd"/>
      <w:r w:rsidRPr="001C02A2">
        <w:rPr>
          <w:rFonts w:cstheme="minorHAnsi"/>
          <w:b/>
          <w:lang w:val="sk-SK"/>
        </w:rPr>
        <w:t>)</w:t>
      </w:r>
      <w:r w:rsidRPr="001C02A2">
        <w:rPr>
          <w:rFonts w:cstheme="minorHAnsi"/>
          <w:lang w:val="sk-SK"/>
        </w:rPr>
        <w:t xml:space="preserve"> keď medzi jednotlivými kategóriami osôb rozlišuje iba vtedy, keď je to rozumné (t. j. keď nediskriminuje).</w:t>
      </w:r>
      <w:r w:rsidRPr="001C02A2">
        <w:rPr>
          <w:rFonts w:cstheme="minorHAnsi"/>
          <w:b/>
          <w:i/>
          <w:lang w:val="sk-SK"/>
        </w:rPr>
        <w:t xml:space="preserve"> </w:t>
      </w:r>
      <w:r w:rsidRPr="001C02A2">
        <w:rPr>
          <w:rFonts w:cstheme="minorHAnsi"/>
          <w:i/>
          <w:lang w:val="sk-SK"/>
        </w:rPr>
        <w:t>Všeobecnosť teda nie je len kvalitou, ktorá popisuje, aké právo je; ide aj o princíp, ktorý predpisuje, aké by právo malo byť</w:t>
      </w:r>
      <w:r w:rsidRPr="001C02A2">
        <w:rPr>
          <w:rFonts w:cstheme="minorHAnsi"/>
          <w:lang w:val="sk-SK"/>
        </w:rPr>
        <w:t>.</w:t>
      </w:r>
    </w:p>
    <w:p w:rsidR="0035646D" w:rsidRPr="001C02A2" w:rsidRDefault="00D64F43" w:rsidP="00E9578F">
      <w:pPr>
        <w:spacing w:after="120"/>
        <w:ind w:left="-284"/>
        <w:rPr>
          <w:rFonts w:cstheme="minorHAnsi"/>
          <w:b/>
          <w:sz w:val="21"/>
          <w:szCs w:val="21"/>
          <w:lang w:val="sk-SK"/>
        </w:rPr>
      </w:pPr>
      <w:r w:rsidRPr="001C02A2">
        <w:rPr>
          <w:rFonts w:cstheme="minorHAnsi"/>
          <w:b/>
          <w:sz w:val="21"/>
          <w:szCs w:val="21"/>
          <w:lang w:val="sk-SK"/>
        </w:rPr>
        <w:lastRenderedPageBreak/>
        <w:t>2.3 Výlučná normativita</w:t>
      </w:r>
    </w:p>
    <w:p w:rsidR="00095CCE" w:rsidRPr="001C02A2" w:rsidRDefault="00095CCE" w:rsidP="00E9578F">
      <w:pPr>
        <w:spacing w:after="120"/>
        <w:ind w:left="-284"/>
        <w:rPr>
          <w:rFonts w:cstheme="minorHAnsi"/>
          <w:lang w:val="sk-SK"/>
        </w:rPr>
      </w:pPr>
      <w:r w:rsidRPr="001C02A2">
        <w:rPr>
          <w:rFonts w:cstheme="minorHAnsi"/>
          <w:lang w:val="sk-SK"/>
        </w:rPr>
        <w:t xml:space="preserve">Výlučná normativita práva priznáva normám určitého právneho systému postavenie </w:t>
      </w:r>
      <w:r w:rsidRPr="001C02A2">
        <w:rPr>
          <w:rFonts w:cstheme="minorHAnsi"/>
          <w:i/>
          <w:lang w:val="sk-SK"/>
        </w:rPr>
        <w:t>jediného</w:t>
      </w:r>
      <w:r w:rsidRPr="001C02A2">
        <w:rPr>
          <w:rFonts w:cstheme="minorHAnsi"/>
          <w:lang w:val="sk-SK"/>
        </w:rPr>
        <w:t xml:space="preserve"> rozhodujúceho štandardu správania sa. Povinnosti stanovené právom tak majú </w:t>
      </w:r>
      <w:r w:rsidRPr="001C02A2">
        <w:rPr>
          <w:rFonts w:cstheme="minorHAnsi"/>
          <w:i/>
          <w:lang w:val="sk-SK"/>
        </w:rPr>
        <w:t>prevážiť</w:t>
      </w:r>
      <w:r w:rsidRPr="001C02A2">
        <w:rPr>
          <w:rFonts w:cstheme="minorHAnsi"/>
          <w:lang w:val="sk-SK"/>
        </w:rPr>
        <w:t xml:space="preserve"> nielen nad inými praktickými dôvodmi správania (uspokojovanie potrieb, napĺňanie túžob, ochrana hodnôt...), ale aj nad inými povinnosťami, či už sú tieto stanovené morálkou, stavovským kódexom, alebo iným – konkurenčným – právnym systémom.</w:t>
      </w:r>
    </w:p>
    <w:p w:rsidR="00095CCE" w:rsidRPr="001C02A2" w:rsidRDefault="00095CCE" w:rsidP="00E9578F">
      <w:pPr>
        <w:spacing w:after="120"/>
        <w:ind w:left="-284"/>
        <w:rPr>
          <w:rFonts w:cstheme="minorHAnsi"/>
          <w:lang w:val="sk-SK"/>
        </w:rPr>
      </w:pPr>
      <w:r w:rsidRPr="001C02A2">
        <w:rPr>
          <w:rFonts w:cstheme="minorHAnsi"/>
          <w:lang w:val="sk-SK"/>
        </w:rPr>
        <w:t xml:space="preserve">Každý právny systém podporuje výlučnosť svojich noriem jednak </w:t>
      </w:r>
      <w:r w:rsidRPr="001C02A2">
        <w:rPr>
          <w:rFonts w:cstheme="minorHAnsi"/>
          <w:i/>
          <w:lang w:val="sk-SK"/>
        </w:rPr>
        <w:t>ideologicky</w:t>
      </w:r>
      <w:r w:rsidRPr="001C02A2">
        <w:rPr>
          <w:rFonts w:cstheme="minorHAnsi"/>
          <w:lang w:val="sk-SK"/>
        </w:rPr>
        <w:t xml:space="preserve">, jednak </w:t>
      </w:r>
      <w:r w:rsidRPr="001C02A2">
        <w:rPr>
          <w:rFonts w:cstheme="minorHAnsi"/>
          <w:i/>
          <w:lang w:val="sk-SK"/>
        </w:rPr>
        <w:t>mocensky</w:t>
      </w:r>
      <w:r w:rsidRPr="001C02A2">
        <w:rPr>
          <w:rFonts w:cstheme="minorHAnsi"/>
          <w:lang w:val="sk-SK"/>
        </w:rPr>
        <w:t xml:space="preserve">. V ideologickej rovine stojí výlučnosť národných právnych poriadkov predovšetkým na myšlienke </w:t>
      </w:r>
      <w:r w:rsidRPr="001C02A2">
        <w:rPr>
          <w:rFonts w:cstheme="minorHAnsi"/>
          <w:b/>
          <w:i/>
          <w:lang w:val="sk-SK"/>
        </w:rPr>
        <w:t>suverenity</w:t>
      </w:r>
      <w:r w:rsidRPr="001C02A2">
        <w:rPr>
          <w:rFonts w:cstheme="minorHAnsi"/>
          <w:lang w:val="sk-SK"/>
        </w:rPr>
        <w:t xml:space="preserve">. V mocenskej rovine stojí výlučná normativita práva na účinnosti štátneho </w:t>
      </w:r>
      <w:r w:rsidRPr="001C02A2">
        <w:rPr>
          <w:rFonts w:cstheme="minorHAnsi"/>
          <w:b/>
          <w:i/>
          <w:lang w:val="sk-SK"/>
        </w:rPr>
        <w:t>donútenia</w:t>
      </w:r>
      <w:r w:rsidRPr="001C02A2">
        <w:rPr>
          <w:rFonts w:cstheme="minorHAnsi"/>
          <w:lang w:val="sk-SK"/>
        </w:rPr>
        <w:t>.</w:t>
      </w:r>
    </w:p>
    <w:p w:rsidR="00095CCE" w:rsidRPr="001C02A2" w:rsidRDefault="00095CCE" w:rsidP="00E9578F">
      <w:pPr>
        <w:spacing w:after="120"/>
        <w:ind w:left="-284"/>
        <w:rPr>
          <w:rFonts w:cstheme="minorHAnsi"/>
          <w:lang w:val="sk-SK"/>
        </w:rPr>
      </w:pPr>
      <w:r w:rsidRPr="001C02A2">
        <w:rPr>
          <w:rFonts w:cstheme="minorHAnsi"/>
          <w:lang w:val="sk-SK"/>
        </w:rPr>
        <w:t xml:space="preserve">Výlučnú normativitu práva v súčasnosti oslabuje </w:t>
      </w:r>
      <w:r w:rsidRPr="001C02A2">
        <w:rPr>
          <w:rFonts w:cstheme="minorHAnsi"/>
          <w:b/>
          <w:i/>
          <w:lang w:val="sk-SK"/>
        </w:rPr>
        <w:t>právny pluralizmus</w:t>
      </w:r>
      <w:r w:rsidR="00530850">
        <w:rPr>
          <w:rFonts w:cstheme="minorHAnsi"/>
          <w:lang w:val="sk-SK"/>
        </w:rPr>
        <w:t>:</w:t>
      </w:r>
      <w:r w:rsidRPr="001C02A2">
        <w:rPr>
          <w:rFonts w:cstheme="minorHAnsi"/>
          <w:lang w:val="sk-SK"/>
        </w:rPr>
        <w:t xml:space="preserve"> skutočnosť, že na jednom štátnom území paralelne platí viacero právnych poriadkov. Napríklad na území členských štátov EÚ platí okrem vnútroštátneho práva aj právo medzinárodné a európske. Otázka znie, ktoré z nich má prednosť.</w:t>
      </w:r>
    </w:p>
    <w:p w:rsidR="00095CCE" w:rsidRPr="001C02A2" w:rsidRDefault="00095CCE" w:rsidP="00E9578F">
      <w:pPr>
        <w:spacing w:after="120"/>
        <w:ind w:left="-284"/>
        <w:rPr>
          <w:rFonts w:cstheme="minorHAnsi"/>
          <w:lang w:val="sk-SK"/>
        </w:rPr>
      </w:pPr>
      <w:r w:rsidRPr="001C02A2">
        <w:rPr>
          <w:rFonts w:cstheme="minorHAnsi"/>
          <w:lang w:val="sk-SK"/>
        </w:rPr>
        <w:t xml:space="preserve">Výlučnú normativitu práva popiera aj tzv. </w:t>
      </w:r>
      <w:proofErr w:type="spellStart"/>
      <w:r w:rsidRPr="001C02A2">
        <w:rPr>
          <w:rFonts w:cstheme="minorHAnsi"/>
          <w:b/>
          <w:i/>
          <w:lang w:val="sk-SK"/>
        </w:rPr>
        <w:t>Radbruchova</w:t>
      </w:r>
      <w:proofErr w:type="spellEnd"/>
      <w:r w:rsidRPr="001C02A2">
        <w:rPr>
          <w:rFonts w:cstheme="minorHAnsi"/>
          <w:b/>
          <w:i/>
          <w:lang w:val="sk-SK"/>
        </w:rPr>
        <w:t xml:space="preserve"> formula</w:t>
      </w:r>
      <w:r w:rsidRPr="001C02A2">
        <w:rPr>
          <w:rFonts w:cstheme="minorHAnsi"/>
          <w:lang w:val="sk-SK"/>
        </w:rPr>
        <w:t xml:space="preserve"> (neznesiteľne nespravodlivé právo musí ustúpiť spravodlivosti). </w:t>
      </w:r>
    </w:p>
    <w:p w:rsidR="00095CCE" w:rsidRPr="001C02A2" w:rsidRDefault="00095CCE" w:rsidP="00E9578F">
      <w:pPr>
        <w:spacing w:after="120"/>
        <w:ind w:left="-284"/>
        <w:rPr>
          <w:rFonts w:cstheme="minorHAnsi"/>
          <w:lang w:val="sk-SK"/>
        </w:rPr>
      </w:pPr>
    </w:p>
    <w:p w:rsidR="00095CCE" w:rsidRPr="001C02A2" w:rsidRDefault="00095CCE" w:rsidP="00E9578F">
      <w:pPr>
        <w:spacing w:after="120"/>
        <w:ind w:left="-284"/>
        <w:rPr>
          <w:rFonts w:cstheme="minorHAnsi"/>
          <w:b/>
          <w:lang w:val="sk-SK"/>
        </w:rPr>
      </w:pPr>
      <w:r w:rsidRPr="001C02A2">
        <w:rPr>
          <w:rFonts w:cstheme="minorHAnsi"/>
          <w:b/>
          <w:lang w:val="sk-SK"/>
        </w:rPr>
        <w:t>2.4 Štátne donútenie</w:t>
      </w:r>
    </w:p>
    <w:p w:rsidR="00C71D78" w:rsidRPr="001C02A2" w:rsidRDefault="00C71D78" w:rsidP="001C02A2">
      <w:pPr>
        <w:spacing w:after="120"/>
        <w:ind w:left="-284"/>
        <w:jc w:val="both"/>
        <w:rPr>
          <w:rFonts w:cstheme="minorHAnsi"/>
          <w:lang w:val="sk-SK"/>
        </w:rPr>
      </w:pPr>
      <w:r w:rsidRPr="001C02A2">
        <w:rPr>
          <w:rFonts w:cstheme="minorHAnsi"/>
          <w:lang w:val="sk-SK"/>
        </w:rPr>
        <w:t xml:space="preserve">Štátne donútenie má dve podoby: </w:t>
      </w:r>
      <w:r w:rsidRPr="001C02A2">
        <w:rPr>
          <w:rFonts w:cstheme="minorHAnsi"/>
          <w:b/>
          <w:i/>
          <w:lang w:val="sk-SK"/>
        </w:rPr>
        <w:t>priame</w:t>
      </w:r>
      <w:r w:rsidRPr="001C02A2">
        <w:rPr>
          <w:rFonts w:cstheme="minorHAnsi"/>
          <w:lang w:val="sk-SK"/>
        </w:rPr>
        <w:t xml:space="preserve"> a </w:t>
      </w:r>
      <w:r w:rsidRPr="001C02A2">
        <w:rPr>
          <w:rFonts w:cstheme="minorHAnsi"/>
          <w:b/>
          <w:i/>
          <w:lang w:val="sk-SK"/>
        </w:rPr>
        <w:t>nepriame</w:t>
      </w:r>
      <w:r w:rsidRPr="001C02A2">
        <w:rPr>
          <w:rFonts w:cstheme="minorHAnsi"/>
          <w:lang w:val="sk-SK"/>
        </w:rPr>
        <w:t xml:space="preserve">. Nepriame spočíva v ustanovení právnej povinnosti, ktorá záväzne reguluje správanie sa adresáta práva. Táto povinnosť môže byť </w:t>
      </w:r>
      <w:r w:rsidRPr="001C02A2">
        <w:rPr>
          <w:rFonts w:cstheme="minorHAnsi"/>
          <w:b/>
          <w:i/>
          <w:lang w:val="sk-SK"/>
        </w:rPr>
        <w:t>primárna</w:t>
      </w:r>
      <w:r w:rsidRPr="001C02A2">
        <w:rPr>
          <w:rFonts w:cstheme="minorHAnsi"/>
          <w:lang w:val="sk-SK"/>
        </w:rPr>
        <w:t xml:space="preserve"> a </w:t>
      </w:r>
      <w:r w:rsidRPr="001C02A2">
        <w:rPr>
          <w:rFonts w:cstheme="minorHAnsi"/>
          <w:b/>
          <w:i/>
          <w:lang w:val="sk-SK"/>
        </w:rPr>
        <w:t>sekundárna</w:t>
      </w:r>
      <w:r w:rsidRPr="001C02A2">
        <w:rPr>
          <w:rFonts w:cstheme="minorHAnsi"/>
          <w:lang w:val="sk-SK"/>
        </w:rPr>
        <w:t>. Primárna povinnosť ustanovuje to, čo treba konať a sekundárna, ktorej hovoríme aj sankcia, je následkom jej porušenia – ustanovuje to, čo treba konať, ak sa nekonalo to, čo sa malo konať podľa primárnej právnej povinnosti.</w:t>
      </w:r>
    </w:p>
    <w:p w:rsidR="00C71D78" w:rsidRPr="001C02A2" w:rsidRDefault="00C71D78" w:rsidP="001C02A2">
      <w:pPr>
        <w:spacing w:after="120"/>
        <w:ind w:left="-284"/>
        <w:jc w:val="both"/>
        <w:rPr>
          <w:rFonts w:cstheme="minorHAnsi"/>
          <w:lang w:val="sk-SK"/>
        </w:rPr>
      </w:pPr>
      <w:r w:rsidRPr="001C02A2">
        <w:rPr>
          <w:rFonts w:cstheme="minorHAnsi"/>
          <w:lang w:val="sk-SK"/>
        </w:rPr>
        <w:t xml:space="preserve">Sankcie rozoznávame </w:t>
      </w:r>
      <w:r w:rsidRPr="001C02A2">
        <w:rPr>
          <w:rFonts w:cstheme="minorHAnsi"/>
          <w:b/>
          <w:i/>
          <w:lang w:val="sk-SK"/>
        </w:rPr>
        <w:t>represívne</w:t>
      </w:r>
      <w:r w:rsidRPr="001C02A2">
        <w:rPr>
          <w:rFonts w:cstheme="minorHAnsi"/>
          <w:lang w:val="sk-SK"/>
        </w:rPr>
        <w:t xml:space="preserve"> (napríklad trest odňatia slobody alebo uloženie ochrannej liečby), </w:t>
      </w:r>
      <w:r w:rsidRPr="001C02A2">
        <w:rPr>
          <w:rFonts w:cstheme="minorHAnsi"/>
          <w:b/>
          <w:i/>
          <w:lang w:val="sk-SK"/>
        </w:rPr>
        <w:t>reštitučné</w:t>
      </w:r>
      <w:r w:rsidRPr="001C02A2">
        <w:rPr>
          <w:rFonts w:cstheme="minorHAnsi"/>
          <w:lang w:val="sk-SK"/>
        </w:rPr>
        <w:t xml:space="preserve"> (napríklad povinnosť vrátiť vec do pôvodného stavu), </w:t>
      </w:r>
      <w:r w:rsidRPr="001C02A2">
        <w:rPr>
          <w:rFonts w:cstheme="minorHAnsi"/>
          <w:b/>
          <w:i/>
          <w:lang w:val="sk-SK"/>
        </w:rPr>
        <w:t>reparačné</w:t>
      </w:r>
      <w:r w:rsidRPr="001C02A2">
        <w:rPr>
          <w:rFonts w:cstheme="minorHAnsi"/>
          <w:lang w:val="sk-SK"/>
        </w:rPr>
        <w:t xml:space="preserve"> (napríklad povinnosť nahradiť škodu) a </w:t>
      </w:r>
      <w:r w:rsidRPr="001C02A2">
        <w:rPr>
          <w:rFonts w:cstheme="minorHAnsi"/>
          <w:b/>
          <w:i/>
          <w:lang w:val="sk-SK"/>
        </w:rPr>
        <w:t>satisfakčné</w:t>
      </w:r>
      <w:r w:rsidRPr="001C02A2">
        <w:rPr>
          <w:rFonts w:cstheme="minorHAnsi"/>
          <w:lang w:val="sk-SK"/>
        </w:rPr>
        <w:t xml:space="preserve"> (napríklad povinnosť uverejniť opravu nepravdivého skutkového tvrdenia).</w:t>
      </w:r>
    </w:p>
    <w:p w:rsidR="001C02A2" w:rsidRPr="001C02A2" w:rsidRDefault="00C71D78" w:rsidP="001C02A2">
      <w:pPr>
        <w:spacing w:after="120"/>
        <w:ind w:left="-284"/>
        <w:jc w:val="both"/>
        <w:rPr>
          <w:rFonts w:cstheme="minorHAnsi"/>
          <w:lang w:val="sk-SK"/>
        </w:rPr>
      </w:pPr>
      <w:r w:rsidRPr="001C02A2">
        <w:rPr>
          <w:rFonts w:cstheme="minorHAnsi"/>
          <w:lang w:val="sk-SK"/>
        </w:rPr>
        <w:t>Priame donútenie spočíva vo fak</w:t>
      </w:r>
      <w:r w:rsidR="001C02A2" w:rsidRPr="001C02A2">
        <w:rPr>
          <w:rFonts w:cstheme="minorHAnsi"/>
          <w:lang w:val="sk-SK"/>
        </w:rPr>
        <w:t>tickom výkone uloženej sankcie (napr. exekúcia alebo donucovacie akty zo strany polície</w:t>
      </w:r>
      <w:r w:rsidR="00A017A6">
        <w:rPr>
          <w:rFonts w:cstheme="minorHAnsi"/>
          <w:lang w:val="sk-SK"/>
        </w:rPr>
        <w:t>)</w:t>
      </w:r>
      <w:r w:rsidR="001C02A2" w:rsidRPr="001C02A2">
        <w:rPr>
          <w:rFonts w:cstheme="minorHAnsi"/>
          <w:lang w:val="sk-SK"/>
        </w:rPr>
        <w:t xml:space="preserve">. </w:t>
      </w:r>
    </w:p>
    <w:p w:rsidR="00C71D78" w:rsidRPr="001C02A2" w:rsidRDefault="001C02A2" w:rsidP="001C02A2">
      <w:pPr>
        <w:spacing w:after="120"/>
        <w:ind w:left="-284"/>
        <w:jc w:val="both"/>
        <w:rPr>
          <w:rFonts w:cstheme="minorHAnsi"/>
          <w:lang w:val="sk-SK"/>
        </w:rPr>
      </w:pPr>
      <w:r w:rsidRPr="00EE7DB4">
        <w:rPr>
          <w:rFonts w:cstheme="minorHAnsi"/>
          <w:u w:val="single"/>
          <w:lang w:val="sk-SK"/>
        </w:rPr>
        <w:t>Príklad</w:t>
      </w:r>
      <w:r w:rsidRPr="001C02A2">
        <w:rPr>
          <w:rFonts w:cstheme="minorHAnsi"/>
          <w:lang w:val="sk-SK"/>
        </w:rPr>
        <w:t>: Nepriamym donútením je napríklad zákaz neplniť si vyživovaciu povinnosť, obsiahnutý v trestnom zákone (primárna povinnosť), ale je ním tiež rozsudok súdu, ktorý páchateľa trestného činu neplnenia si vyživovacej povinnosti odsúdi na peňažný trest (sekundárna povinnosť). Priamym donútením je až výkon tohto trestu, napr. predvedenie právoplatne odsúdeného do ústav</w:t>
      </w:r>
      <w:r w:rsidR="00EE7DB4">
        <w:rPr>
          <w:rFonts w:cstheme="minorHAnsi"/>
          <w:lang w:val="sk-SK"/>
        </w:rPr>
        <w:t>u</w:t>
      </w:r>
      <w:r w:rsidRPr="001C02A2">
        <w:rPr>
          <w:rFonts w:cstheme="minorHAnsi"/>
          <w:lang w:val="sk-SK"/>
        </w:rPr>
        <w:t xml:space="preserve"> na výkon trestu odňatia slobody.</w:t>
      </w:r>
    </w:p>
    <w:p w:rsidR="001C02A2" w:rsidRPr="001C02A2" w:rsidRDefault="001C02A2" w:rsidP="001C02A2">
      <w:pPr>
        <w:spacing w:after="120"/>
        <w:ind w:left="-284"/>
        <w:jc w:val="both"/>
        <w:rPr>
          <w:rFonts w:cstheme="minorHAnsi"/>
          <w:lang w:val="sk-SK"/>
        </w:rPr>
      </w:pPr>
      <w:r w:rsidRPr="001C02A2">
        <w:rPr>
          <w:rFonts w:cstheme="minorHAnsi"/>
          <w:u w:val="single"/>
          <w:lang w:val="sk-SK"/>
        </w:rPr>
        <w:t>Kritika</w:t>
      </w:r>
      <w:r w:rsidRPr="001C02A2">
        <w:rPr>
          <w:rFonts w:cstheme="minorHAnsi"/>
          <w:lang w:val="sk-SK"/>
        </w:rPr>
        <w:t xml:space="preserve">: Akt stanovenia povinnosti netreba chápať vždy len ako hrozenie (napr. pri bežnom uzatváraní zmlúv). Ak si osvojíme predstavu, že právo sú príkazy suveréna vynútiteľné násilím, právo bude veľmi ťažké odlíšiť od príkazov bankového lupiča (H. L. A. </w:t>
      </w:r>
      <w:proofErr w:type="spellStart"/>
      <w:r w:rsidRPr="001C02A2">
        <w:rPr>
          <w:rFonts w:cstheme="minorHAnsi"/>
          <w:lang w:val="sk-SK"/>
        </w:rPr>
        <w:t>Hart</w:t>
      </w:r>
      <w:proofErr w:type="spellEnd"/>
      <w:r w:rsidRPr="001C02A2">
        <w:rPr>
          <w:rFonts w:cstheme="minorHAnsi"/>
          <w:lang w:val="sk-SK"/>
        </w:rPr>
        <w:t xml:space="preserve"> – </w:t>
      </w:r>
      <w:proofErr w:type="spellStart"/>
      <w:r w:rsidRPr="001C02A2">
        <w:rPr>
          <w:rFonts w:cstheme="minorHAnsi"/>
          <w:i/>
          <w:lang w:val="sk-SK"/>
        </w:rPr>
        <w:t>gunman</w:t>
      </w:r>
      <w:proofErr w:type="spellEnd"/>
      <w:r w:rsidRPr="001C02A2">
        <w:rPr>
          <w:rFonts w:cstheme="minorHAnsi"/>
          <w:i/>
          <w:lang w:val="sk-SK"/>
        </w:rPr>
        <w:t xml:space="preserve"> </w:t>
      </w:r>
      <w:proofErr w:type="spellStart"/>
      <w:r w:rsidRPr="001C02A2">
        <w:rPr>
          <w:rFonts w:cstheme="minorHAnsi"/>
          <w:i/>
          <w:lang w:val="sk-SK"/>
        </w:rPr>
        <w:t>situation</w:t>
      </w:r>
      <w:proofErr w:type="spellEnd"/>
      <w:r w:rsidRPr="001C02A2">
        <w:rPr>
          <w:rFonts w:cstheme="minorHAnsi"/>
          <w:lang w:val="sk-SK"/>
        </w:rPr>
        <w:t xml:space="preserve">). Vyhrážanie sa teda nie je ukladaním povinností, ale psychologickou manipuláciou. Navyše, v medzinárodnom práve je dôsledná vynútiteľnosť právnych pravidiel veľmi nepraktická, pretože rozhodnutie násilím vynútiť medzinárodné právo sa </w:t>
      </w:r>
      <w:proofErr w:type="spellStart"/>
      <w:r w:rsidRPr="001C02A2">
        <w:rPr>
          <w:rFonts w:cstheme="minorHAnsi"/>
          <w:i/>
          <w:lang w:val="sk-SK"/>
        </w:rPr>
        <w:t>de</w:t>
      </w:r>
      <w:proofErr w:type="spellEnd"/>
      <w:r w:rsidRPr="001C02A2">
        <w:rPr>
          <w:rFonts w:cstheme="minorHAnsi"/>
          <w:i/>
          <w:lang w:val="sk-SK"/>
        </w:rPr>
        <w:t xml:space="preserve"> facto</w:t>
      </w:r>
      <w:r w:rsidRPr="001C02A2">
        <w:rPr>
          <w:rFonts w:cstheme="minorHAnsi"/>
          <w:lang w:val="sk-SK"/>
        </w:rPr>
        <w:t xml:space="preserve"> rovná vyhláseniu vojny.</w:t>
      </w:r>
      <w:r w:rsidR="00530850">
        <w:rPr>
          <w:rStyle w:val="Odkaznapoznmkupodiarou"/>
          <w:rFonts w:cstheme="minorHAnsi"/>
          <w:lang w:val="sk-SK"/>
        </w:rPr>
        <w:footnoteReference w:id="1"/>
      </w:r>
    </w:p>
    <w:sectPr w:rsidR="001C02A2" w:rsidRPr="001C02A2" w:rsidSect="00832EE8">
      <w:type w:val="continuous"/>
      <w:pgSz w:w="11906" w:h="16838"/>
      <w:pgMar w:top="851" w:right="1274"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198" w:rsidRDefault="008B5198" w:rsidP="00095CCE">
      <w:pPr>
        <w:spacing w:after="0" w:line="240" w:lineRule="auto"/>
      </w:pPr>
      <w:r>
        <w:separator/>
      </w:r>
    </w:p>
  </w:endnote>
  <w:endnote w:type="continuationSeparator" w:id="0">
    <w:p w:rsidR="008B5198" w:rsidRDefault="008B5198" w:rsidP="00095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822663"/>
      <w:docPartObj>
        <w:docPartGallery w:val="Page Numbers (Bottom of Page)"/>
        <w:docPartUnique/>
      </w:docPartObj>
    </w:sdtPr>
    <w:sdtEndPr/>
    <w:sdtContent>
      <w:p w:rsidR="00BE785A" w:rsidRDefault="00097FF4">
        <w:pPr>
          <w:pStyle w:val="Pta"/>
          <w:jc w:val="center"/>
        </w:pPr>
        <w:r>
          <w:fldChar w:fldCharType="begin"/>
        </w:r>
        <w:r>
          <w:instrText>PAGE   \* MERGEFORMAT</w:instrText>
        </w:r>
        <w:r>
          <w:fldChar w:fldCharType="separate"/>
        </w:r>
        <w:r w:rsidR="006707EC" w:rsidRPr="006707EC">
          <w:rPr>
            <w:noProof/>
            <w:lang w:val="sk-SK"/>
          </w:rPr>
          <w:t>3</w:t>
        </w:r>
        <w:r>
          <w:fldChar w:fldCharType="end"/>
        </w:r>
      </w:p>
    </w:sdtContent>
  </w:sdt>
  <w:p w:rsidR="00BE785A" w:rsidRDefault="008B519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198" w:rsidRDefault="008B5198" w:rsidP="00095CCE">
      <w:pPr>
        <w:spacing w:after="0" w:line="240" w:lineRule="auto"/>
      </w:pPr>
      <w:r>
        <w:separator/>
      </w:r>
    </w:p>
  </w:footnote>
  <w:footnote w:type="continuationSeparator" w:id="0">
    <w:p w:rsidR="008B5198" w:rsidRDefault="008B5198" w:rsidP="00095CCE">
      <w:pPr>
        <w:spacing w:after="0" w:line="240" w:lineRule="auto"/>
      </w:pPr>
      <w:r>
        <w:continuationSeparator/>
      </w:r>
    </w:p>
  </w:footnote>
  <w:footnote w:id="1">
    <w:p w:rsidR="00530850" w:rsidRPr="006707EC" w:rsidRDefault="00530850" w:rsidP="006707EC">
      <w:pPr>
        <w:pStyle w:val="Textpoznmkypodiarou"/>
        <w:ind w:left="-284"/>
        <w:rPr>
          <w:rFonts w:asciiTheme="minorHAnsi" w:hAnsiTheme="minorHAnsi" w:cstheme="minorHAnsi"/>
        </w:rPr>
      </w:pPr>
      <w:r w:rsidRPr="006707EC">
        <w:rPr>
          <w:rStyle w:val="Odkaznapoznmkupodiarou"/>
          <w:rFonts w:asciiTheme="minorHAnsi" w:hAnsiTheme="minorHAnsi" w:cstheme="minorHAnsi"/>
        </w:rPr>
        <w:footnoteRef/>
      </w:r>
      <w:r w:rsidRPr="006707EC">
        <w:rPr>
          <w:rFonts w:asciiTheme="minorHAnsi" w:hAnsiTheme="minorHAnsi" w:cstheme="minorHAnsi"/>
        </w:rPr>
        <w:t xml:space="preserve"> Pre obšírnejší výklad pozri bližšie Procházka, R. – Káčer, M.: </w:t>
      </w:r>
      <w:bookmarkStart w:id="0" w:name="_GoBack"/>
      <w:r w:rsidRPr="006707EC">
        <w:rPr>
          <w:rFonts w:asciiTheme="minorHAnsi" w:hAnsiTheme="minorHAnsi" w:cstheme="minorHAnsi"/>
          <w:i/>
        </w:rPr>
        <w:t>Teória práva</w:t>
      </w:r>
      <w:bookmarkEnd w:id="0"/>
      <w:r w:rsidRPr="006707EC">
        <w:rPr>
          <w:rFonts w:asciiTheme="minorHAnsi" w:hAnsiTheme="minorHAnsi" w:cstheme="minorHAnsi"/>
        </w:rPr>
        <w:t>. 2. vydanie. B</w:t>
      </w:r>
      <w:r w:rsidR="00EE7DB4" w:rsidRPr="006707EC">
        <w:rPr>
          <w:rFonts w:asciiTheme="minorHAnsi" w:hAnsiTheme="minorHAnsi" w:cstheme="minorHAnsi"/>
        </w:rPr>
        <w:t xml:space="preserve">ratislava: C. H. </w:t>
      </w:r>
      <w:proofErr w:type="spellStart"/>
      <w:r w:rsidR="00EE7DB4" w:rsidRPr="006707EC">
        <w:rPr>
          <w:rFonts w:asciiTheme="minorHAnsi" w:hAnsiTheme="minorHAnsi" w:cstheme="minorHAnsi"/>
        </w:rPr>
        <w:t>Beck</w:t>
      </w:r>
      <w:proofErr w:type="spellEnd"/>
      <w:r w:rsidR="00EE7DB4" w:rsidRPr="006707EC">
        <w:rPr>
          <w:rFonts w:asciiTheme="minorHAnsi" w:hAnsiTheme="minorHAnsi" w:cstheme="minorHAnsi"/>
        </w:rPr>
        <w:t xml:space="preserve">, 2019, s. 114 – 132.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44B8E"/>
    <w:multiLevelType w:val="hybridMultilevel"/>
    <w:tmpl w:val="6D560C44"/>
    <w:lvl w:ilvl="0" w:tplc="0804C3F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CA2866"/>
    <w:multiLevelType w:val="hybridMultilevel"/>
    <w:tmpl w:val="6872369A"/>
    <w:lvl w:ilvl="0" w:tplc="DE447F2E">
      <w:start w:val="1"/>
      <w:numFmt w:val="bullet"/>
      <w:lvlText w:val="–"/>
      <w:lvlJc w:val="left"/>
      <w:pPr>
        <w:ind w:left="720" w:hanging="360"/>
      </w:pPr>
      <w:rPr>
        <w:rFonts w:ascii="Calibri" w:eastAsia="Calibri"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64BD7689"/>
    <w:multiLevelType w:val="hybridMultilevel"/>
    <w:tmpl w:val="78CC9E94"/>
    <w:lvl w:ilvl="0" w:tplc="8A708A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zNTI1NzQ1tLA0MjZU0lEKTi0uzszPAykwrgUAbKIrhywAAAA="/>
  </w:docVars>
  <w:rsids>
    <w:rsidRoot w:val="002B3376"/>
    <w:rsid w:val="00095CCE"/>
    <w:rsid w:val="00097FF4"/>
    <w:rsid w:val="000A0DEA"/>
    <w:rsid w:val="001C02A2"/>
    <w:rsid w:val="0021749F"/>
    <w:rsid w:val="002B3376"/>
    <w:rsid w:val="0035646D"/>
    <w:rsid w:val="003836A7"/>
    <w:rsid w:val="00441FB9"/>
    <w:rsid w:val="00530850"/>
    <w:rsid w:val="00553992"/>
    <w:rsid w:val="006707EC"/>
    <w:rsid w:val="006C3F9B"/>
    <w:rsid w:val="007002D7"/>
    <w:rsid w:val="00734AA2"/>
    <w:rsid w:val="00827BE4"/>
    <w:rsid w:val="00832EE8"/>
    <w:rsid w:val="008B5198"/>
    <w:rsid w:val="008B74CA"/>
    <w:rsid w:val="008F1B01"/>
    <w:rsid w:val="00916FE8"/>
    <w:rsid w:val="00A017A6"/>
    <w:rsid w:val="00AF4609"/>
    <w:rsid w:val="00C43CE8"/>
    <w:rsid w:val="00C71D78"/>
    <w:rsid w:val="00D64F43"/>
    <w:rsid w:val="00E03F34"/>
    <w:rsid w:val="00E9578F"/>
    <w:rsid w:val="00EE7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B33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2B3376"/>
    <w:pPr>
      <w:tabs>
        <w:tab w:val="center" w:pos="4513"/>
        <w:tab w:val="right" w:pos="9026"/>
      </w:tabs>
      <w:spacing w:after="0" w:line="240" w:lineRule="auto"/>
    </w:pPr>
  </w:style>
  <w:style w:type="character" w:customStyle="1" w:styleId="PtaChar">
    <w:name w:val="Päta Char"/>
    <w:basedOn w:val="Predvolenpsmoodseku"/>
    <w:link w:val="Pta"/>
    <w:uiPriority w:val="99"/>
    <w:rsid w:val="002B3376"/>
  </w:style>
  <w:style w:type="paragraph" w:styleId="Odsekzoznamu">
    <w:name w:val="List Paragraph"/>
    <w:basedOn w:val="Normlny"/>
    <w:uiPriority w:val="34"/>
    <w:qFormat/>
    <w:rsid w:val="002B3376"/>
    <w:pPr>
      <w:ind w:left="720"/>
      <w:contextualSpacing/>
    </w:pPr>
  </w:style>
  <w:style w:type="paragraph" w:styleId="Textbubliny">
    <w:name w:val="Balloon Text"/>
    <w:basedOn w:val="Normlny"/>
    <w:link w:val="TextbublinyChar"/>
    <w:uiPriority w:val="99"/>
    <w:semiHidden/>
    <w:unhideWhenUsed/>
    <w:rsid w:val="007002D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002D7"/>
    <w:rPr>
      <w:rFonts w:ascii="Tahoma" w:hAnsi="Tahoma" w:cs="Tahoma"/>
      <w:sz w:val="16"/>
      <w:szCs w:val="16"/>
    </w:rPr>
  </w:style>
  <w:style w:type="paragraph" w:styleId="Textpoznmkypodiarou">
    <w:name w:val="footnote text"/>
    <w:aliases w:val="Text pozn. pod čarou Char Char,Text pozn. pod čarou Char Char Char Char,Text pozn. pod čarou Char Char Char  Char"/>
    <w:basedOn w:val="Normlny"/>
    <w:link w:val="TextpoznmkypodiarouChar"/>
    <w:qFormat/>
    <w:rsid w:val="00095CCE"/>
    <w:pPr>
      <w:spacing w:after="0" w:line="240" w:lineRule="auto"/>
    </w:pPr>
    <w:rPr>
      <w:rFonts w:ascii="Times New Roman" w:eastAsia="Times New Roman" w:hAnsi="Times New Roman" w:cs="Times New Roman"/>
      <w:sz w:val="20"/>
      <w:szCs w:val="20"/>
      <w:lang w:val="sk-SK"/>
    </w:rPr>
  </w:style>
  <w:style w:type="character" w:customStyle="1" w:styleId="TextpoznmkypodiarouChar">
    <w:name w:val="Text poznámky pod čiarou Char"/>
    <w:aliases w:val="Text pozn. pod čarou Char Char Char,Text pozn. pod čarou Char Char Char Char Char,Text pozn. pod čarou Char Char Char  Char Char"/>
    <w:basedOn w:val="Predvolenpsmoodseku"/>
    <w:link w:val="Textpoznmkypodiarou"/>
    <w:rsid w:val="00095CCE"/>
    <w:rPr>
      <w:rFonts w:ascii="Times New Roman" w:eastAsia="Times New Roman" w:hAnsi="Times New Roman" w:cs="Times New Roman"/>
      <w:sz w:val="20"/>
      <w:szCs w:val="20"/>
      <w:lang w:val="sk-SK"/>
    </w:rPr>
  </w:style>
  <w:style w:type="character" w:styleId="Odkaznapoznmkupodiarou">
    <w:name w:val="footnote reference"/>
    <w:rsid w:val="00095C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B33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2B3376"/>
    <w:pPr>
      <w:tabs>
        <w:tab w:val="center" w:pos="4513"/>
        <w:tab w:val="right" w:pos="9026"/>
      </w:tabs>
      <w:spacing w:after="0" w:line="240" w:lineRule="auto"/>
    </w:pPr>
  </w:style>
  <w:style w:type="character" w:customStyle="1" w:styleId="PtaChar">
    <w:name w:val="Päta Char"/>
    <w:basedOn w:val="Predvolenpsmoodseku"/>
    <w:link w:val="Pta"/>
    <w:uiPriority w:val="99"/>
    <w:rsid w:val="002B3376"/>
  </w:style>
  <w:style w:type="paragraph" w:styleId="Odsekzoznamu">
    <w:name w:val="List Paragraph"/>
    <w:basedOn w:val="Normlny"/>
    <w:uiPriority w:val="34"/>
    <w:qFormat/>
    <w:rsid w:val="002B3376"/>
    <w:pPr>
      <w:ind w:left="720"/>
      <w:contextualSpacing/>
    </w:pPr>
  </w:style>
  <w:style w:type="paragraph" w:styleId="Textbubliny">
    <w:name w:val="Balloon Text"/>
    <w:basedOn w:val="Normlny"/>
    <w:link w:val="TextbublinyChar"/>
    <w:uiPriority w:val="99"/>
    <w:semiHidden/>
    <w:unhideWhenUsed/>
    <w:rsid w:val="007002D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002D7"/>
    <w:rPr>
      <w:rFonts w:ascii="Tahoma" w:hAnsi="Tahoma" w:cs="Tahoma"/>
      <w:sz w:val="16"/>
      <w:szCs w:val="16"/>
    </w:rPr>
  </w:style>
  <w:style w:type="paragraph" w:styleId="Textpoznmkypodiarou">
    <w:name w:val="footnote text"/>
    <w:aliases w:val="Text pozn. pod čarou Char Char,Text pozn. pod čarou Char Char Char Char,Text pozn. pod čarou Char Char Char  Char"/>
    <w:basedOn w:val="Normlny"/>
    <w:link w:val="TextpoznmkypodiarouChar"/>
    <w:qFormat/>
    <w:rsid w:val="00095CCE"/>
    <w:pPr>
      <w:spacing w:after="0" w:line="240" w:lineRule="auto"/>
    </w:pPr>
    <w:rPr>
      <w:rFonts w:ascii="Times New Roman" w:eastAsia="Times New Roman" w:hAnsi="Times New Roman" w:cs="Times New Roman"/>
      <w:sz w:val="20"/>
      <w:szCs w:val="20"/>
      <w:lang w:val="sk-SK"/>
    </w:rPr>
  </w:style>
  <w:style w:type="character" w:customStyle="1" w:styleId="TextpoznmkypodiarouChar">
    <w:name w:val="Text poznámky pod čiarou Char"/>
    <w:aliases w:val="Text pozn. pod čarou Char Char Char,Text pozn. pod čarou Char Char Char Char Char,Text pozn. pod čarou Char Char Char  Char Char"/>
    <w:basedOn w:val="Predvolenpsmoodseku"/>
    <w:link w:val="Textpoznmkypodiarou"/>
    <w:rsid w:val="00095CCE"/>
    <w:rPr>
      <w:rFonts w:ascii="Times New Roman" w:eastAsia="Times New Roman" w:hAnsi="Times New Roman" w:cs="Times New Roman"/>
      <w:sz w:val="20"/>
      <w:szCs w:val="20"/>
      <w:lang w:val="sk-SK"/>
    </w:rPr>
  </w:style>
  <w:style w:type="character" w:styleId="Odkaznapoznmkupodiarou">
    <w:name w:val="footnote reference"/>
    <w:rsid w:val="00095C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5077">
      <w:bodyDiv w:val="1"/>
      <w:marLeft w:val="0"/>
      <w:marRight w:val="0"/>
      <w:marTop w:val="0"/>
      <w:marBottom w:val="0"/>
      <w:divBdr>
        <w:top w:val="none" w:sz="0" w:space="0" w:color="auto"/>
        <w:left w:val="none" w:sz="0" w:space="0" w:color="auto"/>
        <w:bottom w:val="none" w:sz="0" w:space="0" w:color="auto"/>
        <w:right w:val="none" w:sz="0" w:space="0" w:color="auto"/>
      </w:divBdr>
    </w:div>
    <w:div w:id="183981044">
      <w:bodyDiv w:val="1"/>
      <w:marLeft w:val="0"/>
      <w:marRight w:val="0"/>
      <w:marTop w:val="0"/>
      <w:marBottom w:val="0"/>
      <w:divBdr>
        <w:top w:val="none" w:sz="0" w:space="0" w:color="auto"/>
        <w:left w:val="none" w:sz="0" w:space="0" w:color="auto"/>
        <w:bottom w:val="none" w:sz="0" w:space="0" w:color="auto"/>
        <w:right w:val="none" w:sz="0" w:space="0" w:color="auto"/>
      </w:divBdr>
      <w:divsChild>
        <w:div w:id="1514996760">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51610-B5F4-420A-8F0E-7EE4409E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1241</Words>
  <Characters>7078</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cp:lastModifiedBy>
  <cp:revision>10</cp:revision>
  <dcterms:created xsi:type="dcterms:W3CDTF">2019-10-04T08:49:00Z</dcterms:created>
  <dcterms:modified xsi:type="dcterms:W3CDTF">2019-10-04T16:48:00Z</dcterms:modified>
</cp:coreProperties>
</file>