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A6" w:rsidRPr="00B7616E" w:rsidRDefault="000D48A6" w:rsidP="000D48A6">
      <w:pPr>
        <w:pBdr>
          <w:bottom w:val="single" w:sz="4" w:space="1" w:color="auto"/>
        </w:pBdr>
        <w:spacing w:after="60"/>
        <w:rPr>
          <w:rFonts w:cstheme="minorHAnsi"/>
          <w:b/>
          <w:sz w:val="28"/>
          <w:szCs w:val="28"/>
          <w:lang w:val="sk-SK"/>
        </w:rPr>
      </w:pPr>
      <w:r w:rsidRPr="00B7616E">
        <w:rPr>
          <w:rFonts w:cstheme="minorHAnsi"/>
          <w:b/>
          <w:sz w:val="28"/>
          <w:szCs w:val="28"/>
          <w:lang w:val="sk-SK"/>
        </w:rPr>
        <w:t>Medzinárodné právo, európske právo, právne kultúry</w:t>
      </w:r>
    </w:p>
    <w:p w:rsidR="000D48A6" w:rsidRPr="00B7616E" w:rsidRDefault="000D48A6" w:rsidP="000D48A6">
      <w:pPr>
        <w:spacing w:after="60"/>
        <w:jc w:val="right"/>
        <w:rPr>
          <w:rFonts w:cstheme="minorHAnsi"/>
          <w:b/>
          <w:sz w:val="21"/>
          <w:szCs w:val="21"/>
          <w:lang w:val="sk-SK"/>
        </w:rPr>
      </w:pPr>
      <w:r w:rsidRPr="00B7616E">
        <w:rPr>
          <w:rFonts w:cstheme="minorHAnsi"/>
          <w:b/>
          <w:sz w:val="21"/>
          <w:szCs w:val="21"/>
          <w:lang w:val="sk-SK"/>
        </w:rPr>
        <w:t>6. 11. 2019</w:t>
      </w:r>
    </w:p>
    <w:p w:rsidR="00C24ABB" w:rsidRPr="00B7616E" w:rsidRDefault="00C24ABB" w:rsidP="000D48A6">
      <w:pPr>
        <w:spacing w:after="120"/>
        <w:rPr>
          <w:rFonts w:cstheme="minorHAnsi"/>
          <w:b/>
          <w:sz w:val="21"/>
          <w:szCs w:val="21"/>
          <w:lang w:val="sk-SK"/>
        </w:rPr>
      </w:pPr>
      <w:r w:rsidRPr="00B7616E">
        <w:rPr>
          <w:rFonts w:cstheme="minorHAnsi"/>
          <w:b/>
          <w:sz w:val="21"/>
          <w:szCs w:val="21"/>
          <w:lang w:val="sk-SK"/>
        </w:rPr>
        <w:t>1.</w:t>
      </w:r>
      <w:r w:rsidR="003216D6" w:rsidRPr="00B7616E">
        <w:rPr>
          <w:rFonts w:cstheme="minorHAnsi"/>
          <w:b/>
          <w:sz w:val="21"/>
          <w:szCs w:val="21"/>
          <w:lang w:val="sk-SK"/>
        </w:rPr>
        <w:t>1</w:t>
      </w:r>
      <w:r w:rsidRPr="00B7616E">
        <w:rPr>
          <w:rFonts w:cstheme="minorHAnsi"/>
          <w:b/>
          <w:sz w:val="21"/>
          <w:szCs w:val="21"/>
          <w:lang w:val="sk-SK"/>
        </w:rPr>
        <w:t xml:space="preserve"> Medzinárodné právo</w:t>
      </w:r>
      <w:r w:rsidR="003216D6" w:rsidRPr="00B7616E">
        <w:rPr>
          <w:rFonts w:cstheme="minorHAnsi"/>
          <w:b/>
          <w:sz w:val="21"/>
          <w:szCs w:val="21"/>
          <w:lang w:val="sk-SK"/>
        </w:rPr>
        <w:t xml:space="preserve"> – úvod</w:t>
      </w:r>
    </w:p>
    <w:p w:rsidR="004E6933" w:rsidRPr="00B7616E" w:rsidRDefault="00C24ABB" w:rsidP="000D48A6">
      <w:pPr>
        <w:spacing w:after="120"/>
        <w:rPr>
          <w:rFonts w:cstheme="minorHAnsi"/>
          <w:sz w:val="21"/>
          <w:szCs w:val="21"/>
          <w:lang w:val="sk-SK"/>
        </w:rPr>
      </w:pPr>
      <w:r w:rsidRPr="00B7616E">
        <w:rPr>
          <w:rFonts w:cstheme="minorHAnsi"/>
          <w:b/>
          <w:i/>
          <w:sz w:val="21"/>
          <w:szCs w:val="21"/>
          <w:lang w:val="sk-SK"/>
        </w:rPr>
        <w:t>Medzinárodné právo súkromné</w:t>
      </w:r>
      <w:r w:rsidRPr="00B7616E">
        <w:rPr>
          <w:rFonts w:cstheme="minorHAnsi"/>
          <w:sz w:val="21"/>
          <w:szCs w:val="21"/>
          <w:lang w:val="sk-SK"/>
        </w:rPr>
        <w:t xml:space="preserve"> </w:t>
      </w:r>
      <w:r w:rsidR="00286E01" w:rsidRPr="00B7616E">
        <w:rPr>
          <w:rFonts w:cstheme="minorHAnsi"/>
          <w:sz w:val="21"/>
          <w:szCs w:val="21"/>
          <w:lang w:val="sk-SK"/>
        </w:rPr>
        <w:t xml:space="preserve">(MPS) </w:t>
      </w:r>
      <w:r w:rsidRPr="00B7616E">
        <w:rPr>
          <w:rFonts w:cstheme="minorHAnsi"/>
          <w:sz w:val="21"/>
          <w:szCs w:val="21"/>
          <w:lang w:val="sk-SK"/>
        </w:rPr>
        <w:t xml:space="preserve">je osobitné právne odvetvie, ktoré upravuje súkromnoprávne vzťahy s cudzím prvkom. Napr. ak si Slovenka objedná na internete tovar od </w:t>
      </w:r>
      <w:r w:rsidR="00286E01" w:rsidRPr="00B7616E">
        <w:rPr>
          <w:rFonts w:cstheme="minorHAnsi"/>
          <w:sz w:val="21"/>
          <w:szCs w:val="21"/>
          <w:lang w:val="sk-SK"/>
        </w:rPr>
        <w:t>austrálskej</w:t>
      </w:r>
      <w:r w:rsidR="004E6933" w:rsidRPr="00B7616E">
        <w:rPr>
          <w:rFonts w:cstheme="minorHAnsi"/>
          <w:sz w:val="21"/>
          <w:szCs w:val="21"/>
          <w:lang w:val="sk-SK"/>
        </w:rPr>
        <w:t xml:space="preserve"> firmy</w:t>
      </w:r>
      <w:r w:rsidRPr="00B7616E">
        <w:rPr>
          <w:rFonts w:cstheme="minorHAnsi"/>
          <w:sz w:val="21"/>
          <w:szCs w:val="21"/>
          <w:lang w:val="sk-SK"/>
        </w:rPr>
        <w:t xml:space="preserve"> </w:t>
      </w:r>
      <w:r w:rsidR="00286E01" w:rsidRPr="00B7616E">
        <w:rPr>
          <w:rFonts w:cstheme="minorHAnsi"/>
          <w:sz w:val="21"/>
          <w:szCs w:val="21"/>
          <w:lang w:val="sk-SK"/>
        </w:rPr>
        <w:t xml:space="preserve">z čínskeho </w:t>
      </w:r>
      <w:r w:rsidR="004E6933" w:rsidRPr="00B7616E">
        <w:rPr>
          <w:rFonts w:cstheme="minorHAnsi"/>
          <w:sz w:val="21"/>
          <w:szCs w:val="21"/>
          <w:lang w:val="sk-SK"/>
        </w:rPr>
        <w:t>skladu,</w:t>
      </w:r>
      <w:r w:rsidR="00286E01" w:rsidRPr="00B7616E">
        <w:rPr>
          <w:rFonts w:cstheme="minorHAnsi"/>
          <w:sz w:val="21"/>
          <w:szCs w:val="21"/>
          <w:lang w:val="sk-SK"/>
        </w:rPr>
        <w:t xml:space="preserve"> </w:t>
      </w:r>
      <w:r w:rsidRPr="00B7616E">
        <w:rPr>
          <w:rFonts w:cstheme="minorHAnsi"/>
          <w:sz w:val="21"/>
          <w:szCs w:val="21"/>
          <w:lang w:val="sk-SK"/>
        </w:rPr>
        <w:t>zaplatí ho americkou kredi</w:t>
      </w:r>
      <w:r w:rsidR="006666EF">
        <w:rPr>
          <w:rFonts w:cstheme="minorHAnsi"/>
          <w:sz w:val="21"/>
          <w:szCs w:val="21"/>
          <w:lang w:val="sk-SK"/>
        </w:rPr>
        <w:t>tnou kartou a nechá si ho doviez</w:t>
      </w:r>
      <w:r w:rsidRPr="00B7616E">
        <w:rPr>
          <w:rFonts w:cstheme="minorHAnsi"/>
          <w:sz w:val="21"/>
          <w:szCs w:val="21"/>
          <w:lang w:val="sk-SK"/>
        </w:rPr>
        <w:t xml:space="preserve">ť nemeckým prepravcom, </w:t>
      </w:r>
      <w:r w:rsidR="00286E01" w:rsidRPr="00B7616E">
        <w:rPr>
          <w:rFonts w:cstheme="minorHAnsi"/>
          <w:sz w:val="21"/>
          <w:szCs w:val="21"/>
          <w:lang w:val="sk-SK"/>
        </w:rPr>
        <w:t xml:space="preserve">vznikol vzťah, ktorý spadá do pôsobnosti MPS. Toto odvetvie väčšinou len určuje, právnym poriadkom ktorého štátu sa má príslušný právny vzťah riadiť (slovenským, austrálskym, čínskym, americkým alebo nemeckým?). </w:t>
      </w:r>
    </w:p>
    <w:p w:rsidR="00C24ABB" w:rsidRPr="00B7616E" w:rsidRDefault="004E6933" w:rsidP="000D48A6">
      <w:pPr>
        <w:spacing w:after="120"/>
        <w:rPr>
          <w:rFonts w:cstheme="minorHAnsi"/>
          <w:sz w:val="21"/>
          <w:szCs w:val="21"/>
          <w:lang w:val="sk-SK"/>
        </w:rPr>
      </w:pPr>
      <w:r w:rsidRPr="00B7616E">
        <w:rPr>
          <w:rFonts w:cstheme="minorHAnsi"/>
          <w:b/>
          <w:i/>
          <w:sz w:val="21"/>
          <w:szCs w:val="21"/>
          <w:lang w:val="sk-SK"/>
        </w:rPr>
        <w:t>M</w:t>
      </w:r>
      <w:r w:rsidR="00286E01" w:rsidRPr="00B7616E">
        <w:rPr>
          <w:rFonts w:cstheme="minorHAnsi"/>
          <w:b/>
          <w:i/>
          <w:sz w:val="21"/>
          <w:szCs w:val="21"/>
          <w:lang w:val="sk-SK"/>
        </w:rPr>
        <w:t>edzinárodné právo verejné</w:t>
      </w:r>
      <w:r w:rsidR="00286E01" w:rsidRPr="00B7616E">
        <w:rPr>
          <w:rFonts w:cstheme="minorHAnsi"/>
          <w:sz w:val="21"/>
          <w:szCs w:val="21"/>
          <w:lang w:val="sk-SK"/>
        </w:rPr>
        <w:t xml:space="preserve"> (</w:t>
      </w:r>
      <w:r w:rsidRPr="00B7616E">
        <w:rPr>
          <w:rFonts w:cstheme="minorHAnsi"/>
          <w:sz w:val="21"/>
          <w:szCs w:val="21"/>
          <w:lang w:val="sk-SK"/>
        </w:rPr>
        <w:t xml:space="preserve">MPV) </w:t>
      </w:r>
      <w:r w:rsidR="00286E01" w:rsidRPr="00B7616E">
        <w:rPr>
          <w:rFonts w:cstheme="minorHAnsi"/>
          <w:sz w:val="21"/>
          <w:szCs w:val="21"/>
          <w:lang w:val="sk-SK"/>
        </w:rPr>
        <w:t xml:space="preserve">je </w:t>
      </w:r>
      <w:r w:rsidRPr="00B7616E">
        <w:rPr>
          <w:rFonts w:cstheme="minorHAnsi"/>
          <w:i/>
          <w:sz w:val="21"/>
          <w:szCs w:val="21"/>
          <w:lang w:val="sk-SK"/>
        </w:rPr>
        <w:t>osobitný právny poriadok</w:t>
      </w:r>
      <w:r w:rsidR="006666EF">
        <w:rPr>
          <w:rFonts w:cstheme="minorHAnsi"/>
          <w:i/>
          <w:sz w:val="21"/>
          <w:szCs w:val="21"/>
          <w:lang w:val="sk-SK"/>
        </w:rPr>
        <w:t xml:space="preserve"> upravujúci</w:t>
      </w:r>
      <w:r w:rsidR="00286E01" w:rsidRPr="00B7616E">
        <w:rPr>
          <w:rFonts w:cstheme="minorHAnsi"/>
          <w:i/>
          <w:sz w:val="21"/>
          <w:szCs w:val="21"/>
          <w:lang w:val="sk-SK"/>
        </w:rPr>
        <w:t xml:space="preserve"> vzťahy medzi štátmi, resp. medzi štátmi a medzinárodnými organizáciami, </w:t>
      </w:r>
      <w:r w:rsidRPr="00B7616E">
        <w:rPr>
          <w:rFonts w:cstheme="minorHAnsi"/>
          <w:i/>
          <w:sz w:val="21"/>
          <w:szCs w:val="21"/>
          <w:lang w:val="sk-SK"/>
        </w:rPr>
        <w:t>ktorého</w:t>
      </w:r>
      <w:r w:rsidR="00286E01" w:rsidRPr="00B7616E">
        <w:rPr>
          <w:rFonts w:cstheme="minorHAnsi"/>
          <w:i/>
          <w:sz w:val="21"/>
          <w:szCs w:val="21"/>
          <w:lang w:val="sk-SK"/>
        </w:rPr>
        <w:t xml:space="preserve"> účelom </w:t>
      </w:r>
      <w:r w:rsidRPr="00B7616E">
        <w:rPr>
          <w:rFonts w:cstheme="minorHAnsi"/>
          <w:i/>
          <w:sz w:val="21"/>
          <w:szCs w:val="21"/>
          <w:lang w:val="sk-SK"/>
        </w:rPr>
        <w:t>je zaistenie</w:t>
      </w:r>
      <w:r w:rsidR="00286E01" w:rsidRPr="00B7616E">
        <w:rPr>
          <w:rFonts w:cstheme="minorHAnsi"/>
          <w:i/>
          <w:sz w:val="21"/>
          <w:szCs w:val="21"/>
          <w:lang w:val="sk-SK"/>
        </w:rPr>
        <w:t xml:space="preserve"> mierovej spolupráce</w:t>
      </w:r>
      <w:r w:rsidR="00286E01" w:rsidRPr="00B7616E">
        <w:rPr>
          <w:rFonts w:cstheme="minorHAnsi"/>
          <w:sz w:val="21"/>
          <w:szCs w:val="21"/>
          <w:lang w:val="sk-SK"/>
        </w:rPr>
        <w:t xml:space="preserve">. </w:t>
      </w:r>
    </w:p>
    <w:p w:rsidR="00286E01" w:rsidRPr="00B7616E" w:rsidRDefault="00286E01" w:rsidP="000D48A6">
      <w:pPr>
        <w:spacing w:after="120"/>
        <w:rPr>
          <w:rFonts w:cstheme="minorHAnsi"/>
          <w:sz w:val="21"/>
          <w:szCs w:val="21"/>
          <w:lang w:val="sk-SK"/>
        </w:rPr>
      </w:pPr>
      <w:r w:rsidRPr="00B7616E">
        <w:rPr>
          <w:rFonts w:cstheme="minorHAnsi"/>
          <w:b/>
          <w:i/>
          <w:sz w:val="21"/>
          <w:szCs w:val="21"/>
          <w:lang w:val="sk-SK"/>
        </w:rPr>
        <w:t>Špecifické znaky medzinárodného práva verejného</w:t>
      </w:r>
      <w:r w:rsidRPr="00B7616E">
        <w:rPr>
          <w:rFonts w:cstheme="minorHAnsi"/>
          <w:sz w:val="21"/>
          <w:szCs w:val="21"/>
          <w:lang w:val="sk-SK"/>
        </w:rPr>
        <w:t xml:space="preserve"> (J. </w:t>
      </w:r>
      <w:proofErr w:type="spellStart"/>
      <w:r w:rsidRPr="00B7616E">
        <w:rPr>
          <w:rFonts w:cstheme="minorHAnsi"/>
          <w:sz w:val="21"/>
          <w:szCs w:val="21"/>
          <w:lang w:val="sk-SK"/>
        </w:rPr>
        <w:t>Malenovský</w:t>
      </w:r>
      <w:proofErr w:type="spellEnd"/>
      <w:r w:rsidRPr="00B7616E">
        <w:rPr>
          <w:rFonts w:cstheme="minorHAnsi"/>
          <w:sz w:val="21"/>
          <w:szCs w:val="21"/>
          <w:lang w:val="sk-SK"/>
        </w:rPr>
        <w:t>):</w:t>
      </w:r>
    </w:p>
    <w:p w:rsidR="00286E01" w:rsidRPr="00B7616E" w:rsidRDefault="00286E01" w:rsidP="004E6933">
      <w:pPr>
        <w:spacing w:after="0"/>
        <w:rPr>
          <w:rFonts w:ascii="Calibri" w:hAnsi="Calibri" w:cs="Calibri"/>
          <w:sz w:val="21"/>
          <w:szCs w:val="21"/>
          <w:lang w:val="sk-SK"/>
        </w:rPr>
      </w:pPr>
      <w:r w:rsidRPr="00B7616E">
        <w:rPr>
          <w:rFonts w:cstheme="minorHAnsi"/>
          <w:b/>
          <w:sz w:val="21"/>
          <w:szCs w:val="21"/>
          <w:lang w:val="sk-SK"/>
        </w:rPr>
        <w:t>a)</w:t>
      </w:r>
      <w:r w:rsidRPr="00B7616E">
        <w:rPr>
          <w:rFonts w:cstheme="minorHAnsi"/>
          <w:sz w:val="21"/>
          <w:szCs w:val="21"/>
          <w:lang w:val="sk-SK"/>
        </w:rPr>
        <w:t xml:space="preserve"> </w:t>
      </w:r>
      <w:r w:rsidRPr="00B7616E">
        <w:rPr>
          <w:rFonts w:ascii="Calibri" w:hAnsi="Calibri" w:cs="Calibri"/>
          <w:sz w:val="21"/>
          <w:szCs w:val="21"/>
          <w:lang w:val="sk-SK"/>
        </w:rPr>
        <w:t xml:space="preserve">Systém MPV je založený </w:t>
      </w:r>
      <w:r w:rsidRPr="00B7616E">
        <w:rPr>
          <w:rFonts w:ascii="Calibri" w:hAnsi="Calibri" w:cs="Calibri"/>
          <w:b/>
          <w:i/>
          <w:sz w:val="21"/>
          <w:szCs w:val="21"/>
          <w:lang w:val="sk-SK"/>
        </w:rPr>
        <w:t>na vzťahoch rovnocennosti</w:t>
      </w:r>
      <w:r w:rsidRPr="00B7616E">
        <w:rPr>
          <w:rFonts w:ascii="Calibri" w:hAnsi="Calibri" w:cs="Calibri"/>
          <w:sz w:val="21"/>
          <w:szCs w:val="21"/>
          <w:lang w:val="sk-SK"/>
        </w:rPr>
        <w:t>, v jeho rámci neexistuje žiadna centrálna autorita</w:t>
      </w:r>
      <w:r w:rsidR="004E6933" w:rsidRPr="00B7616E">
        <w:rPr>
          <w:rFonts w:ascii="Calibri" w:hAnsi="Calibri" w:cs="Calibri"/>
          <w:sz w:val="21"/>
          <w:szCs w:val="21"/>
          <w:lang w:val="sk-SK"/>
        </w:rPr>
        <w:t xml:space="preserve"> s normotvornou alebo donucovacou právomocou. Ide o dôsledok</w:t>
      </w:r>
      <w:r w:rsidRPr="00B7616E">
        <w:rPr>
          <w:rFonts w:ascii="Calibri" w:hAnsi="Calibri" w:cs="Calibri"/>
          <w:sz w:val="21"/>
          <w:szCs w:val="21"/>
          <w:lang w:val="sk-SK"/>
        </w:rPr>
        <w:t xml:space="preserve"> </w:t>
      </w:r>
      <w:r w:rsidRPr="00B7616E">
        <w:rPr>
          <w:rFonts w:ascii="Calibri" w:hAnsi="Calibri" w:cs="Calibri"/>
          <w:b/>
          <w:i/>
          <w:sz w:val="21"/>
          <w:szCs w:val="21"/>
          <w:lang w:val="sk-SK"/>
        </w:rPr>
        <w:t>zásady zvrchovanej rovnosti</w:t>
      </w:r>
      <w:r w:rsidRPr="00B7616E">
        <w:rPr>
          <w:rFonts w:ascii="Calibri" w:hAnsi="Calibri" w:cs="Calibri"/>
          <w:sz w:val="21"/>
          <w:szCs w:val="21"/>
          <w:lang w:val="sk-SK"/>
        </w:rPr>
        <w:t xml:space="preserve"> všetkých štátov</w:t>
      </w:r>
      <w:r w:rsidR="004E6933" w:rsidRPr="00B7616E">
        <w:rPr>
          <w:rFonts w:ascii="Calibri" w:hAnsi="Calibri" w:cs="Calibri"/>
          <w:sz w:val="21"/>
          <w:szCs w:val="21"/>
          <w:lang w:val="sk-SK"/>
        </w:rPr>
        <w:t>.</w:t>
      </w:r>
      <w:r w:rsidR="00C71ECC" w:rsidRPr="00B7616E">
        <w:rPr>
          <w:rFonts w:ascii="Calibri" w:hAnsi="Calibri" w:cs="Calibri"/>
          <w:sz w:val="21"/>
          <w:szCs w:val="21"/>
          <w:lang w:val="sk-SK"/>
        </w:rPr>
        <w:t xml:space="preserve"> </w:t>
      </w:r>
    </w:p>
    <w:p w:rsidR="00C71ECC" w:rsidRPr="00B7616E" w:rsidRDefault="00C71ECC" w:rsidP="004E6933">
      <w:pPr>
        <w:spacing w:after="0"/>
        <w:rPr>
          <w:rFonts w:ascii="Calibri" w:hAnsi="Calibri" w:cs="Calibri"/>
          <w:sz w:val="21"/>
          <w:szCs w:val="21"/>
          <w:lang w:val="sk-SK"/>
        </w:rPr>
      </w:pPr>
      <w:r w:rsidRPr="00B7616E">
        <w:rPr>
          <w:rFonts w:ascii="Calibri" w:hAnsi="Calibri" w:cs="Calibri"/>
          <w:b/>
          <w:sz w:val="21"/>
          <w:szCs w:val="21"/>
          <w:lang w:val="sk-SK"/>
        </w:rPr>
        <w:t>b)</w:t>
      </w:r>
      <w:r w:rsidRPr="00B7616E">
        <w:rPr>
          <w:rFonts w:ascii="Calibri" w:hAnsi="Calibri" w:cs="Calibri"/>
          <w:sz w:val="21"/>
          <w:szCs w:val="21"/>
          <w:lang w:val="sk-SK"/>
        </w:rPr>
        <w:t xml:space="preserve"> MPV je ešte stále </w:t>
      </w:r>
      <w:r w:rsidRPr="00B7616E">
        <w:rPr>
          <w:rFonts w:ascii="Calibri" w:hAnsi="Calibri" w:cs="Calibri"/>
          <w:b/>
          <w:i/>
          <w:sz w:val="21"/>
          <w:szCs w:val="21"/>
          <w:lang w:val="sk-SK"/>
        </w:rPr>
        <w:t xml:space="preserve">v rozvojovej </w:t>
      </w:r>
      <w:r w:rsidR="004E6933" w:rsidRPr="00B7616E">
        <w:rPr>
          <w:rFonts w:ascii="Calibri" w:hAnsi="Calibri" w:cs="Calibri"/>
          <w:b/>
          <w:i/>
          <w:sz w:val="21"/>
          <w:szCs w:val="21"/>
          <w:lang w:val="sk-SK"/>
        </w:rPr>
        <w:t>fáze</w:t>
      </w:r>
      <w:r w:rsidRPr="00B7616E">
        <w:rPr>
          <w:rFonts w:ascii="Calibri" w:hAnsi="Calibri" w:cs="Calibri"/>
          <w:sz w:val="21"/>
          <w:szCs w:val="21"/>
          <w:lang w:val="sk-SK"/>
        </w:rPr>
        <w:t xml:space="preserve"> </w:t>
      </w:r>
      <w:r w:rsidR="004E6933" w:rsidRPr="00B7616E">
        <w:rPr>
          <w:rFonts w:ascii="Calibri" w:hAnsi="Calibri" w:cs="Calibri"/>
          <w:sz w:val="21"/>
          <w:szCs w:val="21"/>
          <w:lang w:val="sk-SK"/>
        </w:rPr>
        <w:t>(</w:t>
      </w:r>
      <w:r w:rsidRPr="00B7616E">
        <w:rPr>
          <w:rFonts w:ascii="Calibri" w:hAnsi="Calibri" w:cs="Calibri"/>
          <w:sz w:val="21"/>
          <w:szCs w:val="21"/>
          <w:lang w:val="sk-SK"/>
        </w:rPr>
        <w:t xml:space="preserve">napr. </w:t>
      </w:r>
      <w:r w:rsidR="004E6933" w:rsidRPr="00B7616E">
        <w:rPr>
          <w:rFonts w:ascii="Calibri" w:hAnsi="Calibri" w:cs="Calibri"/>
          <w:sz w:val="21"/>
          <w:szCs w:val="21"/>
          <w:lang w:val="sk-SK"/>
        </w:rPr>
        <w:t>sú okrem štátov subjektom MPV aj jednotlivci?)</w:t>
      </w:r>
      <w:r w:rsidR="006666EF">
        <w:rPr>
          <w:rFonts w:ascii="Calibri" w:hAnsi="Calibri" w:cs="Calibri"/>
          <w:sz w:val="21"/>
          <w:szCs w:val="21"/>
          <w:lang w:val="sk-SK"/>
        </w:rPr>
        <w:t>.</w:t>
      </w:r>
    </w:p>
    <w:p w:rsidR="00C71ECC" w:rsidRPr="00B7616E" w:rsidRDefault="00C71ECC" w:rsidP="004E6933">
      <w:pPr>
        <w:spacing w:after="0"/>
        <w:rPr>
          <w:rFonts w:ascii="Calibri" w:hAnsi="Calibri" w:cs="Calibri"/>
          <w:sz w:val="21"/>
          <w:szCs w:val="21"/>
          <w:lang w:val="sk-SK"/>
        </w:rPr>
      </w:pPr>
      <w:r w:rsidRPr="00B7616E">
        <w:rPr>
          <w:rFonts w:ascii="Calibri" w:hAnsi="Calibri" w:cs="Calibri"/>
          <w:b/>
          <w:sz w:val="21"/>
          <w:szCs w:val="21"/>
          <w:lang w:val="sk-SK"/>
        </w:rPr>
        <w:t>c)</w:t>
      </w:r>
      <w:r w:rsidRPr="00B7616E">
        <w:rPr>
          <w:rFonts w:ascii="Calibri" w:hAnsi="Calibri" w:cs="Calibri"/>
          <w:sz w:val="21"/>
          <w:szCs w:val="21"/>
          <w:lang w:val="sk-SK"/>
        </w:rPr>
        <w:t xml:space="preserve"> MPV má čiastočne </w:t>
      </w:r>
      <w:r w:rsidRPr="00B7616E">
        <w:rPr>
          <w:rFonts w:ascii="Calibri" w:hAnsi="Calibri" w:cs="Calibri"/>
          <w:b/>
          <w:i/>
          <w:sz w:val="21"/>
          <w:szCs w:val="21"/>
          <w:lang w:val="sk-SK"/>
        </w:rPr>
        <w:t>nepísanú podobu</w:t>
      </w:r>
      <w:r w:rsidRPr="00B7616E">
        <w:rPr>
          <w:rFonts w:ascii="Calibri" w:hAnsi="Calibri" w:cs="Calibri"/>
          <w:sz w:val="21"/>
          <w:szCs w:val="21"/>
          <w:lang w:val="sk-SK"/>
        </w:rPr>
        <w:t>.</w:t>
      </w:r>
    </w:p>
    <w:p w:rsidR="00C71ECC" w:rsidRPr="00B7616E" w:rsidRDefault="00C71ECC" w:rsidP="004E6933">
      <w:pPr>
        <w:spacing w:after="0"/>
        <w:rPr>
          <w:rFonts w:cstheme="minorHAnsi"/>
          <w:sz w:val="21"/>
          <w:szCs w:val="21"/>
          <w:lang w:val="sk-SK"/>
        </w:rPr>
      </w:pPr>
      <w:r w:rsidRPr="00B7616E">
        <w:rPr>
          <w:rFonts w:ascii="Calibri" w:hAnsi="Calibri" w:cs="Calibri"/>
          <w:b/>
          <w:sz w:val="21"/>
          <w:szCs w:val="21"/>
          <w:lang w:val="sk-SK"/>
        </w:rPr>
        <w:t>d)</w:t>
      </w:r>
      <w:r w:rsidRPr="00B7616E">
        <w:rPr>
          <w:rFonts w:ascii="Calibri" w:hAnsi="Calibri" w:cs="Calibri"/>
          <w:sz w:val="21"/>
          <w:szCs w:val="21"/>
          <w:lang w:val="sk-SK"/>
        </w:rPr>
        <w:t xml:space="preserve"> V MPV je </w:t>
      </w:r>
      <w:r w:rsidRPr="00B7616E">
        <w:rPr>
          <w:rFonts w:ascii="Calibri" w:hAnsi="Calibri" w:cs="Calibri"/>
          <w:i/>
          <w:sz w:val="21"/>
          <w:szCs w:val="21"/>
          <w:lang w:val="sk-SK"/>
        </w:rPr>
        <w:t>nápadný pomer medzi hmotným a procesným právom</w:t>
      </w:r>
      <w:r w:rsidRPr="00B7616E">
        <w:rPr>
          <w:rFonts w:ascii="Calibri" w:hAnsi="Calibri" w:cs="Calibri"/>
          <w:sz w:val="21"/>
          <w:szCs w:val="21"/>
          <w:lang w:val="sk-SK"/>
        </w:rPr>
        <w:t xml:space="preserve"> v prospech práva hmotného. </w:t>
      </w:r>
    </w:p>
    <w:p w:rsidR="00115C03" w:rsidRPr="00B7616E" w:rsidRDefault="00C71ECC" w:rsidP="00115C03">
      <w:pPr>
        <w:rPr>
          <w:rFonts w:cstheme="minorHAnsi"/>
          <w:sz w:val="21"/>
          <w:szCs w:val="21"/>
          <w:lang w:val="sk-SK"/>
        </w:rPr>
      </w:pPr>
      <w:r w:rsidRPr="00B7616E">
        <w:rPr>
          <w:rFonts w:ascii="Calibri" w:hAnsi="Calibri" w:cs="Calibri"/>
          <w:b/>
          <w:sz w:val="21"/>
          <w:szCs w:val="21"/>
          <w:lang w:val="sk-SK"/>
        </w:rPr>
        <w:t>e</w:t>
      </w:r>
      <w:r w:rsidR="00115C03" w:rsidRPr="00B7616E">
        <w:rPr>
          <w:rFonts w:ascii="Calibri" w:hAnsi="Calibri" w:cs="Calibri"/>
          <w:b/>
          <w:sz w:val="21"/>
          <w:szCs w:val="21"/>
          <w:lang w:val="sk-SK"/>
        </w:rPr>
        <w:t>)</w:t>
      </w:r>
      <w:r w:rsidR="00115C03" w:rsidRPr="00B7616E">
        <w:rPr>
          <w:rFonts w:ascii="Calibri" w:hAnsi="Calibri" w:cs="Calibri"/>
          <w:sz w:val="21"/>
          <w:szCs w:val="21"/>
          <w:lang w:val="sk-SK"/>
        </w:rPr>
        <w:t xml:space="preserve"> Systém MPV </w:t>
      </w:r>
      <w:r w:rsidR="00115C03" w:rsidRPr="00B7616E">
        <w:rPr>
          <w:rFonts w:ascii="Calibri" w:hAnsi="Calibri" w:cs="Calibri"/>
          <w:b/>
          <w:i/>
          <w:sz w:val="21"/>
          <w:szCs w:val="21"/>
          <w:lang w:val="sk-SK"/>
        </w:rPr>
        <w:t>nemá hierarchickú štruktúru</w:t>
      </w:r>
      <w:r w:rsidR="00115C03" w:rsidRPr="00B7616E">
        <w:rPr>
          <w:rFonts w:ascii="Calibri" w:hAnsi="Calibri" w:cs="Calibri"/>
          <w:sz w:val="21"/>
          <w:szCs w:val="21"/>
          <w:lang w:val="sk-SK"/>
        </w:rPr>
        <w:t>, všetky normy majú rovnakú právnu silu.</w:t>
      </w:r>
    </w:p>
    <w:p w:rsidR="00BD73EB" w:rsidRPr="00B7616E" w:rsidRDefault="00C71ECC" w:rsidP="00115C03">
      <w:pPr>
        <w:rPr>
          <w:rFonts w:ascii="Calibri" w:hAnsi="Calibri" w:cs="Calibri"/>
          <w:sz w:val="21"/>
          <w:szCs w:val="21"/>
          <w:lang w:val="sk-SK"/>
        </w:rPr>
      </w:pPr>
      <w:r w:rsidRPr="00B7616E">
        <w:rPr>
          <w:rFonts w:ascii="Calibri" w:hAnsi="Calibri" w:cs="Calibri"/>
          <w:b/>
          <w:i/>
          <w:sz w:val="21"/>
          <w:szCs w:val="21"/>
          <w:lang w:val="sk-SK"/>
        </w:rPr>
        <w:t>Diskusia</w:t>
      </w:r>
      <w:r w:rsidRPr="00B7616E">
        <w:rPr>
          <w:rFonts w:ascii="Calibri" w:hAnsi="Calibri" w:cs="Calibri"/>
          <w:sz w:val="21"/>
          <w:szCs w:val="21"/>
          <w:lang w:val="sk-SK"/>
        </w:rPr>
        <w:t>: A</w:t>
      </w:r>
      <w:r w:rsidR="00115C03" w:rsidRPr="00B7616E">
        <w:rPr>
          <w:rFonts w:ascii="Calibri" w:hAnsi="Calibri" w:cs="Calibri"/>
          <w:sz w:val="21"/>
          <w:szCs w:val="21"/>
          <w:lang w:val="sk-SK"/>
        </w:rPr>
        <w:t xml:space="preserve">nglický teoretik práva </w:t>
      </w:r>
      <w:proofErr w:type="spellStart"/>
      <w:r w:rsidR="00115C03" w:rsidRPr="00B7616E">
        <w:rPr>
          <w:rFonts w:ascii="Calibri" w:hAnsi="Calibri" w:cs="Calibri"/>
          <w:sz w:val="21"/>
          <w:szCs w:val="21"/>
          <w:lang w:val="sk-SK"/>
        </w:rPr>
        <w:t>John</w:t>
      </w:r>
      <w:proofErr w:type="spellEnd"/>
      <w:r w:rsidR="00115C03" w:rsidRPr="00B7616E">
        <w:rPr>
          <w:rFonts w:ascii="Calibri" w:hAnsi="Calibri" w:cs="Calibri"/>
          <w:sz w:val="21"/>
          <w:szCs w:val="21"/>
          <w:lang w:val="sk-SK"/>
        </w:rPr>
        <w:t xml:space="preserve"> </w:t>
      </w:r>
      <w:proofErr w:type="spellStart"/>
      <w:r w:rsidR="00115C03" w:rsidRPr="00B7616E">
        <w:rPr>
          <w:rFonts w:ascii="Calibri" w:hAnsi="Calibri" w:cs="Calibri"/>
          <w:sz w:val="21"/>
          <w:szCs w:val="21"/>
          <w:lang w:val="sk-SK"/>
        </w:rPr>
        <w:t>Austin</w:t>
      </w:r>
      <w:proofErr w:type="spellEnd"/>
      <w:r w:rsidR="00115C03" w:rsidRPr="00B7616E">
        <w:rPr>
          <w:rFonts w:ascii="Calibri" w:hAnsi="Calibri" w:cs="Calibri"/>
          <w:sz w:val="21"/>
          <w:szCs w:val="21"/>
          <w:lang w:val="sk-SK"/>
        </w:rPr>
        <w:t xml:space="preserve"> v 19. storočí povedal, že medzinárodné právo je skôr súborom noriem medzinárodnej morálky, keďže tomuto systému chýba jediný suverén</w:t>
      </w:r>
      <w:r w:rsidRPr="00B7616E">
        <w:rPr>
          <w:rFonts w:ascii="Calibri" w:hAnsi="Calibri" w:cs="Calibri"/>
          <w:sz w:val="21"/>
          <w:szCs w:val="21"/>
          <w:lang w:val="sk-SK"/>
        </w:rPr>
        <w:t xml:space="preserve"> s monopolom </w:t>
      </w:r>
      <w:r w:rsidR="00BD73EB" w:rsidRPr="00B7616E">
        <w:rPr>
          <w:rFonts w:ascii="Calibri" w:hAnsi="Calibri" w:cs="Calibri"/>
          <w:sz w:val="21"/>
          <w:szCs w:val="21"/>
          <w:lang w:val="sk-SK"/>
        </w:rPr>
        <w:t xml:space="preserve">donucovacej moci. </w:t>
      </w:r>
      <w:r w:rsidRPr="00B7616E">
        <w:rPr>
          <w:rFonts w:ascii="Calibri" w:hAnsi="Calibri" w:cs="Calibri"/>
          <w:sz w:val="21"/>
          <w:szCs w:val="21"/>
          <w:lang w:val="sk-SK"/>
        </w:rPr>
        <w:t>Na túto námietku reagoval</w:t>
      </w:r>
      <w:r w:rsidR="00115C03" w:rsidRPr="00B7616E">
        <w:rPr>
          <w:rFonts w:ascii="Calibri" w:hAnsi="Calibri" w:cs="Calibri"/>
          <w:sz w:val="21"/>
          <w:szCs w:val="21"/>
          <w:lang w:val="sk-SK"/>
        </w:rPr>
        <w:t xml:space="preserve"> </w:t>
      </w:r>
      <w:proofErr w:type="spellStart"/>
      <w:r w:rsidR="00115C03" w:rsidRPr="00B7616E">
        <w:rPr>
          <w:rFonts w:ascii="Calibri" w:hAnsi="Calibri" w:cs="Calibri"/>
          <w:sz w:val="21"/>
          <w:szCs w:val="21"/>
          <w:lang w:val="sk-SK"/>
        </w:rPr>
        <w:t>Herbert</w:t>
      </w:r>
      <w:proofErr w:type="spellEnd"/>
      <w:r w:rsidR="00115C03" w:rsidRPr="00B7616E">
        <w:rPr>
          <w:rFonts w:ascii="Calibri" w:hAnsi="Calibri" w:cs="Calibri"/>
          <w:sz w:val="21"/>
          <w:szCs w:val="21"/>
          <w:lang w:val="sk-SK"/>
        </w:rPr>
        <w:t xml:space="preserve"> </w:t>
      </w:r>
      <w:proofErr w:type="spellStart"/>
      <w:r w:rsidR="00115C03" w:rsidRPr="00B7616E">
        <w:rPr>
          <w:rFonts w:ascii="Calibri" w:hAnsi="Calibri" w:cs="Calibri"/>
          <w:sz w:val="21"/>
          <w:szCs w:val="21"/>
          <w:lang w:val="sk-SK"/>
        </w:rPr>
        <w:t>Hart</w:t>
      </w:r>
      <w:proofErr w:type="spellEnd"/>
      <w:r w:rsidR="00115C03" w:rsidRPr="00B7616E">
        <w:rPr>
          <w:rFonts w:ascii="Calibri" w:hAnsi="Calibri" w:cs="Calibri"/>
          <w:sz w:val="21"/>
          <w:szCs w:val="21"/>
          <w:lang w:val="sk-SK"/>
        </w:rPr>
        <w:t xml:space="preserve">, </w:t>
      </w:r>
      <w:r w:rsidRPr="00B7616E">
        <w:rPr>
          <w:rFonts w:ascii="Calibri" w:hAnsi="Calibri" w:cs="Calibri"/>
          <w:sz w:val="21"/>
          <w:szCs w:val="21"/>
          <w:lang w:val="sk-SK"/>
        </w:rPr>
        <w:t>podľa ktorého donútenie nie je esenciálnym znakom práva. Navyše v rámci MPV neexistuje žiadna záruka</w:t>
      </w:r>
      <w:r w:rsidR="00FC02C8" w:rsidRPr="00B7616E">
        <w:rPr>
          <w:rFonts w:ascii="Calibri" w:hAnsi="Calibri" w:cs="Calibri"/>
          <w:sz w:val="21"/>
          <w:szCs w:val="21"/>
          <w:lang w:val="sk-SK"/>
        </w:rPr>
        <w:t>, že spoločná politická a vojenská sila tých, ktorí stoja na strane medzinárodného poriadku preváži nad silou tých, ktorí sa s</w:t>
      </w:r>
      <w:r w:rsidR="00C24022" w:rsidRPr="00B7616E">
        <w:rPr>
          <w:rFonts w:ascii="Calibri" w:hAnsi="Calibri" w:cs="Calibri"/>
          <w:sz w:val="21"/>
          <w:szCs w:val="21"/>
          <w:lang w:val="sk-SK"/>
        </w:rPr>
        <w:t>chyľujú k medzinárodnej agresii</w:t>
      </w:r>
      <w:r w:rsidR="00FC02C8" w:rsidRPr="00B7616E">
        <w:rPr>
          <w:rFonts w:ascii="Calibri" w:hAnsi="Calibri" w:cs="Calibri"/>
          <w:sz w:val="21"/>
          <w:szCs w:val="21"/>
          <w:lang w:val="sk-SK"/>
        </w:rPr>
        <w:t xml:space="preserve">. </w:t>
      </w:r>
      <w:r w:rsidR="00BD73EB" w:rsidRPr="00B7616E">
        <w:rPr>
          <w:rFonts w:ascii="Calibri" w:hAnsi="Calibri" w:cs="Calibri"/>
          <w:sz w:val="21"/>
          <w:szCs w:val="21"/>
          <w:lang w:val="sk-SK"/>
        </w:rPr>
        <w:t xml:space="preserve">Aj napriek tomu má MPV vlastnú </w:t>
      </w:r>
      <w:proofErr w:type="spellStart"/>
      <w:r w:rsidR="00BD73EB" w:rsidRPr="00B7616E">
        <w:rPr>
          <w:rFonts w:ascii="Calibri" w:hAnsi="Calibri" w:cs="Calibri"/>
          <w:sz w:val="21"/>
          <w:szCs w:val="21"/>
          <w:lang w:val="sk-SK"/>
        </w:rPr>
        <w:t>rekogničnú</w:t>
      </w:r>
      <w:proofErr w:type="spellEnd"/>
      <w:r w:rsidR="00BD73EB" w:rsidRPr="00B7616E">
        <w:rPr>
          <w:rFonts w:ascii="Calibri" w:hAnsi="Calibri" w:cs="Calibri"/>
          <w:sz w:val="21"/>
          <w:szCs w:val="21"/>
          <w:lang w:val="sk-SK"/>
        </w:rPr>
        <w:t xml:space="preserve"> normu stanovujúcu vlastné pramene práva.  </w:t>
      </w:r>
    </w:p>
    <w:p w:rsidR="00C71ECC" w:rsidRPr="00B7616E" w:rsidRDefault="00BD73EB" w:rsidP="00115C03">
      <w:pPr>
        <w:rPr>
          <w:rFonts w:ascii="Calibri" w:hAnsi="Calibri" w:cs="Calibri"/>
          <w:sz w:val="21"/>
          <w:szCs w:val="21"/>
          <w:lang w:val="sk-SK"/>
        </w:rPr>
      </w:pPr>
      <w:r w:rsidRPr="00B7616E">
        <w:rPr>
          <w:rFonts w:ascii="Calibri" w:hAnsi="Calibri" w:cs="Calibri"/>
          <w:sz w:val="21"/>
          <w:szCs w:val="21"/>
          <w:lang w:val="sk-SK"/>
        </w:rPr>
        <w:t>Článok 38 Štatútu Medzinárodného súdneho dvora</w:t>
      </w:r>
      <w:r w:rsidR="00C24022" w:rsidRPr="00B7616E">
        <w:rPr>
          <w:rFonts w:ascii="Calibri" w:hAnsi="Calibri" w:cs="Calibri"/>
          <w:sz w:val="21"/>
          <w:szCs w:val="21"/>
          <w:lang w:val="sk-SK"/>
        </w:rPr>
        <w:t xml:space="preserve"> v Haagu</w:t>
      </w:r>
      <w:r w:rsidRPr="00B7616E">
        <w:rPr>
          <w:rFonts w:ascii="Calibri" w:hAnsi="Calibri" w:cs="Calibri"/>
          <w:sz w:val="21"/>
          <w:szCs w:val="21"/>
          <w:lang w:val="sk-SK"/>
        </w:rPr>
        <w:t xml:space="preserve"> stanovuje </w:t>
      </w:r>
      <w:r w:rsidR="00C24022" w:rsidRPr="00B7616E">
        <w:rPr>
          <w:rFonts w:ascii="Calibri" w:hAnsi="Calibri" w:cs="Calibri"/>
          <w:b/>
          <w:i/>
          <w:sz w:val="21"/>
          <w:szCs w:val="21"/>
          <w:lang w:val="sk-SK"/>
        </w:rPr>
        <w:t>pramene MPV</w:t>
      </w:r>
      <w:r w:rsidR="00C24022" w:rsidRPr="00B7616E">
        <w:rPr>
          <w:rFonts w:ascii="Calibri" w:hAnsi="Calibri" w:cs="Calibri"/>
          <w:sz w:val="21"/>
          <w:szCs w:val="21"/>
          <w:lang w:val="sk-SK"/>
        </w:rPr>
        <w:t xml:space="preserve"> takto:</w:t>
      </w:r>
    </w:p>
    <w:p w:rsidR="00BD73EB" w:rsidRPr="00B7616E" w:rsidRDefault="004E6933" w:rsidP="00C24022">
      <w:pPr>
        <w:pBdr>
          <w:top w:val="single" w:sz="4" w:space="1" w:color="auto"/>
          <w:left w:val="single" w:sz="4" w:space="4" w:color="auto"/>
          <w:bottom w:val="single" w:sz="4" w:space="1" w:color="auto"/>
          <w:right w:val="single" w:sz="4" w:space="4" w:color="auto"/>
        </w:pBdr>
        <w:spacing w:after="0"/>
        <w:rPr>
          <w:rFonts w:ascii="Calibri" w:hAnsi="Calibri" w:cs="Calibri"/>
          <w:sz w:val="21"/>
          <w:szCs w:val="21"/>
          <w:lang w:val="sk-SK"/>
        </w:rPr>
      </w:pPr>
      <w:r w:rsidRPr="00B7616E">
        <w:rPr>
          <w:rFonts w:ascii="Calibri" w:hAnsi="Calibri" w:cs="Calibri"/>
          <w:sz w:val="21"/>
          <w:szCs w:val="21"/>
          <w:lang w:val="sk-SK"/>
        </w:rPr>
        <w:t>1. D</w:t>
      </w:r>
      <w:r w:rsidR="00BD73EB" w:rsidRPr="00B7616E">
        <w:rPr>
          <w:rFonts w:ascii="Calibri" w:hAnsi="Calibri" w:cs="Calibri"/>
          <w:sz w:val="21"/>
          <w:szCs w:val="21"/>
          <w:lang w:val="sk-SK"/>
        </w:rPr>
        <w:t>vor, ktorého úlohou je rozhodovať podľa medzinárodného práva spory, ktoré sú mu predložené, aplikuje:</w:t>
      </w:r>
    </w:p>
    <w:p w:rsidR="00BD73EB" w:rsidRPr="00B7616E" w:rsidRDefault="00BD73EB" w:rsidP="00C24022">
      <w:pPr>
        <w:pBdr>
          <w:top w:val="single" w:sz="4" w:space="1" w:color="auto"/>
          <w:left w:val="single" w:sz="4" w:space="4" w:color="auto"/>
          <w:bottom w:val="single" w:sz="4" w:space="1" w:color="auto"/>
          <w:right w:val="single" w:sz="4" w:space="4" w:color="auto"/>
        </w:pBdr>
        <w:spacing w:after="0"/>
        <w:rPr>
          <w:rFonts w:ascii="Calibri" w:hAnsi="Calibri" w:cs="Calibri"/>
          <w:sz w:val="21"/>
          <w:szCs w:val="21"/>
          <w:lang w:val="sk-SK"/>
        </w:rPr>
      </w:pPr>
      <w:r w:rsidRPr="00B7616E">
        <w:rPr>
          <w:rFonts w:ascii="Calibri" w:hAnsi="Calibri" w:cs="Calibri"/>
          <w:sz w:val="21"/>
          <w:szCs w:val="21"/>
          <w:lang w:val="sk-SK"/>
        </w:rPr>
        <w:t xml:space="preserve">a) </w:t>
      </w:r>
      <w:r w:rsidRPr="00B7616E">
        <w:rPr>
          <w:rFonts w:ascii="Calibri" w:hAnsi="Calibri" w:cs="Calibri"/>
          <w:b/>
          <w:i/>
          <w:sz w:val="21"/>
          <w:szCs w:val="21"/>
          <w:lang w:val="sk-SK"/>
        </w:rPr>
        <w:t>medzinárodné zmluvy</w:t>
      </w:r>
      <w:r w:rsidRPr="00B7616E">
        <w:rPr>
          <w:rFonts w:ascii="Calibri" w:hAnsi="Calibri" w:cs="Calibri"/>
          <w:sz w:val="21"/>
          <w:szCs w:val="21"/>
          <w:lang w:val="sk-SK"/>
        </w:rPr>
        <w:t>, či už všeobecné alebo partikulárne, stanovujúce pravidlá výslovne uznan</w:t>
      </w:r>
      <w:r w:rsidR="00C24022" w:rsidRPr="00B7616E">
        <w:rPr>
          <w:rFonts w:ascii="Calibri" w:hAnsi="Calibri" w:cs="Calibri"/>
          <w:sz w:val="21"/>
          <w:szCs w:val="21"/>
          <w:lang w:val="sk-SK"/>
        </w:rPr>
        <w:t>é sporiacimi sa štátmi;</w:t>
      </w:r>
    </w:p>
    <w:p w:rsidR="00BD73EB" w:rsidRPr="00B7616E" w:rsidRDefault="00BD73EB" w:rsidP="00C24022">
      <w:pPr>
        <w:pBdr>
          <w:top w:val="single" w:sz="4" w:space="1" w:color="auto"/>
          <w:left w:val="single" w:sz="4" w:space="4" w:color="auto"/>
          <w:bottom w:val="single" w:sz="4" w:space="1" w:color="auto"/>
          <w:right w:val="single" w:sz="4" w:space="4" w:color="auto"/>
        </w:pBdr>
        <w:spacing w:after="0"/>
        <w:rPr>
          <w:rFonts w:ascii="Calibri" w:hAnsi="Calibri" w:cs="Calibri"/>
          <w:sz w:val="21"/>
          <w:szCs w:val="21"/>
          <w:lang w:val="sk-SK"/>
        </w:rPr>
      </w:pPr>
      <w:r w:rsidRPr="00B7616E">
        <w:rPr>
          <w:rFonts w:ascii="Calibri" w:hAnsi="Calibri" w:cs="Calibri"/>
          <w:sz w:val="21"/>
          <w:szCs w:val="21"/>
          <w:lang w:val="sk-SK"/>
        </w:rPr>
        <w:t xml:space="preserve">b) </w:t>
      </w:r>
      <w:r w:rsidR="004E6933" w:rsidRPr="00B7616E">
        <w:rPr>
          <w:rFonts w:ascii="Calibri" w:hAnsi="Calibri" w:cs="Calibri"/>
          <w:b/>
          <w:i/>
          <w:sz w:val="21"/>
          <w:szCs w:val="21"/>
          <w:lang w:val="sk-SK"/>
        </w:rPr>
        <w:t>medzinárodnú obyčaj</w:t>
      </w:r>
      <w:r w:rsidR="004E6933" w:rsidRPr="00B7616E">
        <w:rPr>
          <w:rFonts w:ascii="Calibri" w:hAnsi="Calibri" w:cs="Calibri"/>
          <w:sz w:val="21"/>
          <w:szCs w:val="21"/>
          <w:lang w:val="sk-SK"/>
        </w:rPr>
        <w:t>, ako dôkaz všeobecnej praxe uznávanej ako právo;</w:t>
      </w:r>
    </w:p>
    <w:p w:rsidR="004E6933" w:rsidRPr="00B7616E" w:rsidRDefault="004E6933" w:rsidP="00C24022">
      <w:pPr>
        <w:pBdr>
          <w:top w:val="single" w:sz="4" w:space="1" w:color="auto"/>
          <w:left w:val="single" w:sz="4" w:space="4" w:color="auto"/>
          <w:bottom w:val="single" w:sz="4" w:space="1" w:color="auto"/>
          <w:right w:val="single" w:sz="4" w:space="4" w:color="auto"/>
        </w:pBdr>
        <w:spacing w:after="0"/>
        <w:rPr>
          <w:rFonts w:ascii="Calibri" w:hAnsi="Calibri" w:cs="Calibri"/>
          <w:sz w:val="21"/>
          <w:szCs w:val="21"/>
          <w:lang w:val="sk-SK"/>
        </w:rPr>
      </w:pPr>
      <w:r w:rsidRPr="00B7616E">
        <w:rPr>
          <w:rFonts w:ascii="Calibri" w:hAnsi="Calibri" w:cs="Calibri"/>
          <w:sz w:val="21"/>
          <w:szCs w:val="21"/>
          <w:lang w:val="sk-SK"/>
        </w:rPr>
        <w:t xml:space="preserve">c) </w:t>
      </w:r>
      <w:r w:rsidRPr="00B7616E">
        <w:rPr>
          <w:rFonts w:ascii="Calibri" w:hAnsi="Calibri" w:cs="Calibri"/>
          <w:b/>
          <w:i/>
          <w:sz w:val="21"/>
          <w:szCs w:val="21"/>
          <w:lang w:val="sk-SK"/>
        </w:rPr>
        <w:t>všeobecné právne zásady</w:t>
      </w:r>
      <w:r w:rsidRPr="00B7616E">
        <w:rPr>
          <w:rFonts w:ascii="Calibri" w:hAnsi="Calibri" w:cs="Calibri"/>
          <w:sz w:val="21"/>
          <w:szCs w:val="21"/>
          <w:lang w:val="sk-SK"/>
        </w:rPr>
        <w:t xml:space="preserve"> uznávané civilizovanými národmi</w:t>
      </w:r>
      <w:r w:rsidR="00C24022" w:rsidRPr="00B7616E">
        <w:rPr>
          <w:rFonts w:ascii="Calibri" w:hAnsi="Calibri" w:cs="Calibri"/>
          <w:sz w:val="21"/>
          <w:szCs w:val="21"/>
          <w:lang w:val="sk-SK"/>
        </w:rPr>
        <w:t>;</w:t>
      </w:r>
    </w:p>
    <w:p w:rsidR="004E6933" w:rsidRPr="00B7616E" w:rsidRDefault="004E6933" w:rsidP="00C24022">
      <w:pPr>
        <w:pBdr>
          <w:top w:val="single" w:sz="4" w:space="1" w:color="auto"/>
          <w:left w:val="single" w:sz="4" w:space="4" w:color="auto"/>
          <w:bottom w:val="single" w:sz="4" w:space="1" w:color="auto"/>
          <w:right w:val="single" w:sz="4" w:space="4" w:color="auto"/>
        </w:pBdr>
        <w:spacing w:after="0"/>
        <w:rPr>
          <w:rFonts w:ascii="Calibri" w:hAnsi="Calibri" w:cs="Calibri"/>
          <w:sz w:val="21"/>
          <w:szCs w:val="21"/>
          <w:lang w:val="sk-SK"/>
        </w:rPr>
      </w:pPr>
      <w:r w:rsidRPr="00B7616E">
        <w:rPr>
          <w:rFonts w:ascii="Calibri" w:hAnsi="Calibri" w:cs="Calibri"/>
          <w:sz w:val="21"/>
          <w:szCs w:val="21"/>
          <w:lang w:val="sk-SK"/>
        </w:rPr>
        <w:t>d) ...</w:t>
      </w:r>
      <w:r w:rsidRPr="00B7616E">
        <w:rPr>
          <w:rFonts w:ascii="Calibri" w:hAnsi="Calibri" w:cs="Calibri"/>
          <w:b/>
          <w:i/>
          <w:sz w:val="21"/>
          <w:szCs w:val="21"/>
          <w:lang w:val="sk-SK"/>
        </w:rPr>
        <w:t>súdne rozhodnutia</w:t>
      </w:r>
      <w:r w:rsidRPr="00B7616E">
        <w:rPr>
          <w:rFonts w:ascii="Calibri" w:hAnsi="Calibri" w:cs="Calibri"/>
          <w:sz w:val="21"/>
          <w:szCs w:val="21"/>
          <w:lang w:val="sk-SK"/>
        </w:rPr>
        <w:t xml:space="preserve"> a </w:t>
      </w:r>
      <w:r w:rsidRPr="00B7616E">
        <w:rPr>
          <w:rFonts w:ascii="Calibri" w:hAnsi="Calibri" w:cs="Calibri"/>
          <w:b/>
          <w:i/>
          <w:sz w:val="21"/>
          <w:szCs w:val="21"/>
          <w:lang w:val="sk-SK"/>
        </w:rPr>
        <w:t>učenia najkvalifikovanejších znalcov</w:t>
      </w:r>
      <w:r w:rsidRPr="00B7616E">
        <w:rPr>
          <w:rFonts w:ascii="Calibri" w:hAnsi="Calibri" w:cs="Calibri"/>
          <w:sz w:val="21"/>
          <w:szCs w:val="21"/>
          <w:lang w:val="sk-SK"/>
        </w:rPr>
        <w:t xml:space="preserve"> verejného práva rôznych národov ako podporný prostriedok k určovaniu právnych pravidiel</w:t>
      </w:r>
      <w:r w:rsidR="00C24022" w:rsidRPr="00B7616E">
        <w:rPr>
          <w:rFonts w:ascii="Calibri" w:hAnsi="Calibri" w:cs="Calibri"/>
          <w:sz w:val="21"/>
          <w:szCs w:val="21"/>
          <w:lang w:val="sk-SK"/>
        </w:rPr>
        <w:t>.</w:t>
      </w:r>
    </w:p>
    <w:p w:rsidR="004E6933" w:rsidRPr="00B7616E" w:rsidRDefault="004E6933" w:rsidP="00C24022">
      <w:pPr>
        <w:pBdr>
          <w:top w:val="single" w:sz="4" w:space="1" w:color="auto"/>
          <w:left w:val="single" w:sz="4" w:space="4" w:color="auto"/>
          <w:bottom w:val="single" w:sz="4" w:space="1" w:color="auto"/>
          <w:right w:val="single" w:sz="4" w:space="4" w:color="auto"/>
        </w:pBdr>
        <w:rPr>
          <w:sz w:val="21"/>
          <w:szCs w:val="21"/>
          <w:lang w:val="sk-SK"/>
        </w:rPr>
      </w:pPr>
      <w:r w:rsidRPr="00B7616E">
        <w:rPr>
          <w:rFonts w:ascii="Calibri" w:hAnsi="Calibri" w:cs="Calibri"/>
          <w:sz w:val="21"/>
          <w:szCs w:val="21"/>
          <w:lang w:val="sk-SK"/>
        </w:rPr>
        <w:t xml:space="preserve">2. Toto ustanovenie sa nedotýka právomoci Dvora rozhodovať </w:t>
      </w:r>
      <w:r w:rsidRPr="00B7616E">
        <w:rPr>
          <w:rFonts w:ascii="Calibri" w:hAnsi="Calibri" w:cs="Calibri"/>
          <w:b/>
          <w:i/>
          <w:sz w:val="21"/>
          <w:szCs w:val="21"/>
          <w:lang w:val="sk-SK"/>
        </w:rPr>
        <w:t xml:space="preserve">ex </w:t>
      </w:r>
      <w:proofErr w:type="spellStart"/>
      <w:r w:rsidRPr="00B7616E">
        <w:rPr>
          <w:rFonts w:ascii="Calibri" w:hAnsi="Calibri" w:cs="Calibri"/>
          <w:b/>
          <w:i/>
          <w:sz w:val="21"/>
          <w:szCs w:val="21"/>
          <w:lang w:val="sk-SK"/>
        </w:rPr>
        <w:t>aequo</w:t>
      </w:r>
      <w:proofErr w:type="spellEnd"/>
      <w:r w:rsidRPr="00B7616E">
        <w:rPr>
          <w:rFonts w:ascii="Calibri" w:hAnsi="Calibri" w:cs="Calibri"/>
          <w:b/>
          <w:i/>
          <w:sz w:val="21"/>
          <w:szCs w:val="21"/>
          <w:lang w:val="sk-SK"/>
        </w:rPr>
        <w:t xml:space="preserve"> </w:t>
      </w:r>
      <w:proofErr w:type="spellStart"/>
      <w:r w:rsidRPr="00B7616E">
        <w:rPr>
          <w:rFonts w:ascii="Calibri" w:hAnsi="Calibri" w:cs="Calibri"/>
          <w:b/>
          <w:i/>
          <w:sz w:val="21"/>
          <w:szCs w:val="21"/>
          <w:lang w:val="sk-SK"/>
        </w:rPr>
        <w:t>et</w:t>
      </w:r>
      <w:proofErr w:type="spellEnd"/>
      <w:r w:rsidRPr="00B7616E">
        <w:rPr>
          <w:rFonts w:ascii="Calibri" w:hAnsi="Calibri" w:cs="Calibri"/>
          <w:b/>
          <w:i/>
          <w:sz w:val="21"/>
          <w:szCs w:val="21"/>
          <w:lang w:val="sk-SK"/>
        </w:rPr>
        <w:t xml:space="preserve"> </w:t>
      </w:r>
      <w:proofErr w:type="spellStart"/>
      <w:r w:rsidRPr="00B7616E">
        <w:rPr>
          <w:rFonts w:ascii="Calibri" w:hAnsi="Calibri" w:cs="Calibri"/>
          <w:b/>
          <w:i/>
          <w:sz w:val="21"/>
          <w:szCs w:val="21"/>
          <w:lang w:val="sk-SK"/>
        </w:rPr>
        <w:t>bono</w:t>
      </w:r>
      <w:proofErr w:type="spellEnd"/>
      <w:r w:rsidRPr="00B7616E">
        <w:rPr>
          <w:rFonts w:ascii="Calibri" w:hAnsi="Calibri" w:cs="Calibri"/>
          <w:sz w:val="21"/>
          <w:szCs w:val="21"/>
          <w:lang w:val="sk-SK"/>
        </w:rPr>
        <w:t>, ak s tým strany súhlasia.</w:t>
      </w:r>
    </w:p>
    <w:p w:rsidR="003216D6" w:rsidRPr="00B7616E" w:rsidRDefault="003216D6" w:rsidP="003216D6">
      <w:pPr>
        <w:spacing w:after="120"/>
        <w:jc w:val="both"/>
        <w:rPr>
          <w:rFonts w:ascii="Calibri" w:hAnsi="Calibri" w:cs="Calibri"/>
          <w:b/>
          <w:sz w:val="21"/>
          <w:szCs w:val="21"/>
          <w:lang w:val="sk-SK"/>
        </w:rPr>
      </w:pPr>
    </w:p>
    <w:p w:rsidR="00FC02C8" w:rsidRPr="00B7616E" w:rsidRDefault="003216D6" w:rsidP="003216D6">
      <w:pPr>
        <w:spacing w:after="120"/>
        <w:jc w:val="both"/>
        <w:rPr>
          <w:rFonts w:ascii="Calibri" w:hAnsi="Calibri" w:cs="Calibri"/>
          <w:b/>
          <w:sz w:val="21"/>
          <w:szCs w:val="21"/>
          <w:lang w:val="sk-SK"/>
        </w:rPr>
      </w:pPr>
      <w:r w:rsidRPr="00B7616E">
        <w:rPr>
          <w:rFonts w:ascii="Calibri" w:hAnsi="Calibri" w:cs="Calibri"/>
          <w:b/>
          <w:sz w:val="21"/>
          <w:szCs w:val="21"/>
          <w:lang w:val="sk-SK"/>
        </w:rPr>
        <w:t>1.2</w:t>
      </w:r>
      <w:r w:rsidR="00FC02C8" w:rsidRPr="00B7616E">
        <w:rPr>
          <w:rFonts w:ascii="Calibri" w:hAnsi="Calibri" w:cs="Calibri"/>
          <w:b/>
          <w:sz w:val="21"/>
          <w:szCs w:val="21"/>
          <w:lang w:val="sk-SK"/>
        </w:rPr>
        <w:t xml:space="preserve"> Vzťah medzi MPV a vnútroštátnym právom</w:t>
      </w:r>
    </w:p>
    <w:p w:rsidR="003216D6" w:rsidRPr="00B7616E" w:rsidRDefault="00FC02C8" w:rsidP="002D38D5">
      <w:pPr>
        <w:rPr>
          <w:rFonts w:ascii="Calibri" w:hAnsi="Calibri" w:cs="Calibri"/>
          <w:sz w:val="21"/>
          <w:szCs w:val="21"/>
          <w:lang w:val="sk-SK"/>
        </w:rPr>
      </w:pPr>
      <w:r w:rsidRPr="00B7616E">
        <w:rPr>
          <w:rFonts w:ascii="Calibri" w:hAnsi="Calibri" w:cs="Calibri"/>
          <w:sz w:val="21"/>
          <w:szCs w:val="21"/>
          <w:lang w:val="sk-SK"/>
        </w:rPr>
        <w:t xml:space="preserve">Medzi MPV a vnútroštátnym právom </w:t>
      </w:r>
      <w:r w:rsidR="003216D6" w:rsidRPr="00B7616E">
        <w:rPr>
          <w:rFonts w:ascii="Calibri" w:hAnsi="Calibri" w:cs="Calibri"/>
          <w:sz w:val="21"/>
          <w:szCs w:val="21"/>
          <w:lang w:val="sk-SK"/>
        </w:rPr>
        <w:t xml:space="preserve">(VP) </w:t>
      </w:r>
      <w:r w:rsidRPr="00B7616E">
        <w:rPr>
          <w:rFonts w:ascii="Calibri" w:hAnsi="Calibri" w:cs="Calibri"/>
          <w:sz w:val="21"/>
          <w:szCs w:val="21"/>
          <w:lang w:val="sk-SK"/>
        </w:rPr>
        <w:t xml:space="preserve">existujú vzájomné interakcie, na ktoré sa dá pozerať cez dve rôzne perspektívy. Podľa tzv. </w:t>
      </w:r>
      <w:r w:rsidRPr="0084070D">
        <w:rPr>
          <w:rFonts w:ascii="Calibri" w:hAnsi="Calibri" w:cs="Calibri"/>
          <w:b/>
          <w:i/>
          <w:sz w:val="21"/>
          <w:szCs w:val="21"/>
          <w:lang w:val="sk-SK"/>
        </w:rPr>
        <w:t>monistickej</w:t>
      </w:r>
      <w:r w:rsidRPr="00B7616E">
        <w:rPr>
          <w:rFonts w:ascii="Calibri" w:hAnsi="Calibri" w:cs="Calibri"/>
          <w:sz w:val="21"/>
          <w:szCs w:val="21"/>
          <w:lang w:val="sk-SK"/>
        </w:rPr>
        <w:t xml:space="preserve"> koncepcie tvoria normy MPV a VP jeden právny systém, harmonický poriadok.</w:t>
      </w:r>
      <w:r w:rsidR="003216D6" w:rsidRPr="00B7616E">
        <w:rPr>
          <w:rFonts w:ascii="Calibri" w:hAnsi="Calibri" w:cs="Calibri"/>
          <w:sz w:val="21"/>
          <w:szCs w:val="21"/>
          <w:lang w:val="sk-SK"/>
        </w:rPr>
        <w:t xml:space="preserve"> Monistickú teóriu zastávajú najmä jusnaturalisti, podľa ktorých existuje jedno univerzálne prirodzené právo upravujúce tak vzťahy medzi štátmi, ako aj vzťahy medzi ľuďmi.  </w:t>
      </w:r>
    </w:p>
    <w:p w:rsidR="009210A0" w:rsidRPr="00B7616E" w:rsidRDefault="003216D6" w:rsidP="002D38D5">
      <w:pPr>
        <w:rPr>
          <w:rFonts w:ascii="Calibri" w:hAnsi="Calibri" w:cs="Calibri"/>
          <w:sz w:val="21"/>
          <w:szCs w:val="21"/>
          <w:lang w:val="sk-SK"/>
        </w:rPr>
      </w:pPr>
      <w:r w:rsidRPr="0084070D">
        <w:rPr>
          <w:rFonts w:ascii="Calibri" w:hAnsi="Calibri" w:cs="Calibri"/>
          <w:b/>
          <w:i/>
          <w:sz w:val="21"/>
          <w:szCs w:val="21"/>
          <w:lang w:val="sk-SK"/>
        </w:rPr>
        <w:t>D</w:t>
      </w:r>
      <w:r w:rsidR="002D38D5" w:rsidRPr="0084070D">
        <w:rPr>
          <w:rFonts w:ascii="Calibri" w:hAnsi="Calibri" w:cs="Calibri"/>
          <w:b/>
          <w:i/>
          <w:sz w:val="21"/>
          <w:szCs w:val="21"/>
          <w:lang w:val="sk-SK"/>
        </w:rPr>
        <w:t>ualistická</w:t>
      </w:r>
      <w:r w:rsidRPr="00B7616E">
        <w:rPr>
          <w:rFonts w:ascii="Calibri" w:hAnsi="Calibri" w:cs="Calibri"/>
          <w:sz w:val="21"/>
          <w:szCs w:val="21"/>
          <w:lang w:val="sk-SK"/>
        </w:rPr>
        <w:t xml:space="preserve"> teória </w:t>
      </w:r>
      <w:r w:rsidR="002D38D5" w:rsidRPr="00B7616E">
        <w:rPr>
          <w:rFonts w:ascii="Calibri" w:hAnsi="Calibri" w:cs="Calibri"/>
          <w:sz w:val="21"/>
          <w:szCs w:val="21"/>
          <w:lang w:val="sk-SK"/>
        </w:rPr>
        <w:t xml:space="preserve">hovorí, že MPV a VP sú dva odlišné právne systémy, medzi ktorými neexistuje žiadne </w:t>
      </w:r>
      <w:r w:rsidRPr="00B7616E">
        <w:rPr>
          <w:rFonts w:ascii="Calibri" w:hAnsi="Calibri" w:cs="Calibri"/>
          <w:sz w:val="21"/>
          <w:szCs w:val="21"/>
          <w:lang w:val="sk-SK"/>
        </w:rPr>
        <w:t>vopred dané spojenie</w:t>
      </w:r>
      <w:r w:rsidR="002D38D5" w:rsidRPr="00B7616E">
        <w:rPr>
          <w:rFonts w:ascii="Calibri" w:hAnsi="Calibri" w:cs="Calibri"/>
          <w:sz w:val="21"/>
          <w:szCs w:val="21"/>
          <w:lang w:val="sk-SK"/>
        </w:rPr>
        <w:t xml:space="preserve">. </w:t>
      </w:r>
      <w:r w:rsidRPr="00B7616E">
        <w:rPr>
          <w:rFonts w:ascii="Calibri" w:hAnsi="Calibri" w:cs="Calibri"/>
          <w:sz w:val="21"/>
          <w:szCs w:val="21"/>
          <w:lang w:val="sk-SK"/>
        </w:rPr>
        <w:t>Tieto</w:t>
      </w:r>
      <w:r w:rsidR="002D38D5" w:rsidRPr="00B7616E">
        <w:rPr>
          <w:rFonts w:ascii="Calibri" w:hAnsi="Calibri" w:cs="Calibri"/>
          <w:sz w:val="21"/>
          <w:szCs w:val="21"/>
          <w:lang w:val="sk-SK"/>
        </w:rPr>
        <w:t xml:space="preserve"> systémy </w:t>
      </w:r>
      <w:r w:rsidR="00A707E2" w:rsidRPr="00B7616E">
        <w:rPr>
          <w:rFonts w:ascii="Calibri" w:hAnsi="Calibri" w:cs="Calibri"/>
          <w:sz w:val="21"/>
          <w:szCs w:val="21"/>
          <w:lang w:val="sk-SK"/>
        </w:rPr>
        <w:t xml:space="preserve">totiž </w:t>
      </w:r>
      <w:r w:rsidRPr="00B7616E">
        <w:rPr>
          <w:rFonts w:ascii="Calibri" w:hAnsi="Calibri" w:cs="Calibri"/>
          <w:sz w:val="21"/>
          <w:szCs w:val="21"/>
          <w:lang w:val="sk-SK"/>
        </w:rPr>
        <w:t>vznikajú odlišným spôsobom, inak sa uplatňujú v</w:t>
      </w:r>
      <w:r w:rsidR="00A707E2" w:rsidRPr="00B7616E">
        <w:rPr>
          <w:rFonts w:ascii="Calibri" w:hAnsi="Calibri" w:cs="Calibri"/>
          <w:sz w:val="21"/>
          <w:szCs w:val="21"/>
          <w:lang w:val="sk-SK"/>
        </w:rPr>
        <w:t> praxi a</w:t>
      </w:r>
      <w:r w:rsidRPr="00B7616E">
        <w:rPr>
          <w:rFonts w:ascii="Calibri" w:hAnsi="Calibri" w:cs="Calibri"/>
          <w:sz w:val="21"/>
          <w:szCs w:val="21"/>
          <w:lang w:val="sk-SK"/>
        </w:rPr>
        <w:t xml:space="preserve"> </w:t>
      </w:r>
      <w:r w:rsidR="00A707E2" w:rsidRPr="00B7616E">
        <w:rPr>
          <w:rFonts w:ascii="Calibri" w:hAnsi="Calibri" w:cs="Calibri"/>
          <w:sz w:val="21"/>
          <w:szCs w:val="21"/>
          <w:lang w:val="sk-SK"/>
        </w:rPr>
        <w:t>vzťahujú</w:t>
      </w:r>
      <w:r w:rsidRPr="00B7616E">
        <w:rPr>
          <w:rFonts w:ascii="Calibri" w:hAnsi="Calibri" w:cs="Calibri"/>
          <w:sz w:val="21"/>
          <w:szCs w:val="21"/>
          <w:lang w:val="sk-SK"/>
        </w:rPr>
        <w:t xml:space="preserve"> sa </w:t>
      </w:r>
      <w:r w:rsidR="00A707E2" w:rsidRPr="00B7616E">
        <w:rPr>
          <w:rFonts w:ascii="Calibri" w:hAnsi="Calibri" w:cs="Calibri"/>
          <w:sz w:val="21"/>
          <w:szCs w:val="21"/>
          <w:lang w:val="sk-SK"/>
        </w:rPr>
        <w:t>na odlišné subjekty</w:t>
      </w:r>
      <w:r w:rsidRPr="00B7616E">
        <w:rPr>
          <w:rFonts w:ascii="Calibri" w:hAnsi="Calibri" w:cs="Calibri"/>
          <w:sz w:val="21"/>
          <w:szCs w:val="21"/>
          <w:lang w:val="sk-SK"/>
        </w:rPr>
        <w:t xml:space="preserve">. </w:t>
      </w:r>
      <w:r w:rsidR="002D38D5" w:rsidRPr="00B7616E">
        <w:rPr>
          <w:rFonts w:ascii="Calibri" w:hAnsi="Calibri" w:cs="Calibri"/>
          <w:sz w:val="21"/>
          <w:szCs w:val="21"/>
          <w:lang w:val="sk-SK"/>
        </w:rPr>
        <w:t xml:space="preserve">Spojenie </w:t>
      </w:r>
      <w:r w:rsidR="00A707E2" w:rsidRPr="00B7616E">
        <w:rPr>
          <w:rFonts w:ascii="Calibri" w:hAnsi="Calibri" w:cs="Calibri"/>
          <w:sz w:val="21"/>
          <w:szCs w:val="21"/>
          <w:lang w:val="sk-SK"/>
        </w:rPr>
        <w:t>medzi MPV a VP môže vzniknúť</w:t>
      </w:r>
      <w:r w:rsidR="002D38D5" w:rsidRPr="00B7616E">
        <w:rPr>
          <w:rFonts w:ascii="Calibri" w:hAnsi="Calibri" w:cs="Calibri"/>
          <w:sz w:val="21"/>
          <w:szCs w:val="21"/>
          <w:lang w:val="sk-SK"/>
        </w:rPr>
        <w:t xml:space="preserve">, ak sa </w:t>
      </w:r>
      <w:r w:rsidR="00A707E2" w:rsidRPr="00B7616E">
        <w:rPr>
          <w:rFonts w:ascii="Calibri" w:hAnsi="Calibri" w:cs="Calibri"/>
          <w:sz w:val="21"/>
          <w:szCs w:val="21"/>
          <w:lang w:val="sk-SK"/>
        </w:rPr>
        <w:t>tak</w:t>
      </w:r>
      <w:r w:rsidR="002D38D5" w:rsidRPr="00B7616E">
        <w:rPr>
          <w:rFonts w:ascii="Calibri" w:hAnsi="Calibri" w:cs="Calibri"/>
          <w:sz w:val="21"/>
          <w:szCs w:val="21"/>
          <w:lang w:val="sk-SK"/>
        </w:rPr>
        <w:t xml:space="preserve"> štát slobodne rozhodne, a to </w:t>
      </w:r>
      <w:r w:rsidR="00A707E2" w:rsidRPr="00B7616E">
        <w:rPr>
          <w:rFonts w:ascii="Calibri" w:hAnsi="Calibri" w:cs="Calibri"/>
          <w:sz w:val="21"/>
          <w:szCs w:val="21"/>
          <w:lang w:val="sk-SK"/>
        </w:rPr>
        <w:t>prijatím príslušných</w:t>
      </w:r>
      <w:r w:rsidRPr="00B7616E">
        <w:rPr>
          <w:rFonts w:ascii="Calibri" w:hAnsi="Calibri" w:cs="Calibri"/>
          <w:sz w:val="21"/>
          <w:szCs w:val="21"/>
          <w:lang w:val="sk-SK"/>
        </w:rPr>
        <w:t xml:space="preserve"> </w:t>
      </w:r>
      <w:r w:rsidR="00A707E2" w:rsidRPr="00B7616E">
        <w:rPr>
          <w:rFonts w:ascii="Calibri" w:hAnsi="Calibri" w:cs="Calibri"/>
          <w:b/>
          <w:i/>
          <w:sz w:val="21"/>
          <w:szCs w:val="21"/>
          <w:lang w:val="sk-SK"/>
        </w:rPr>
        <w:t>recepčných</w:t>
      </w:r>
      <w:r w:rsidRPr="00B7616E">
        <w:rPr>
          <w:rFonts w:ascii="Calibri" w:hAnsi="Calibri" w:cs="Calibri"/>
          <w:b/>
          <w:i/>
          <w:sz w:val="21"/>
          <w:szCs w:val="21"/>
          <w:lang w:val="sk-SK"/>
        </w:rPr>
        <w:t xml:space="preserve"> n</w:t>
      </w:r>
      <w:r w:rsidR="00A707E2" w:rsidRPr="00B7616E">
        <w:rPr>
          <w:rFonts w:ascii="Calibri" w:hAnsi="Calibri" w:cs="Calibri"/>
          <w:b/>
          <w:i/>
          <w:sz w:val="21"/>
          <w:szCs w:val="21"/>
          <w:lang w:val="sk-SK"/>
        </w:rPr>
        <w:t>oriem</w:t>
      </w:r>
      <w:r w:rsidRPr="00B7616E">
        <w:rPr>
          <w:rFonts w:ascii="Calibri" w:hAnsi="Calibri" w:cs="Calibri"/>
          <w:sz w:val="21"/>
          <w:szCs w:val="21"/>
          <w:lang w:val="sk-SK"/>
        </w:rPr>
        <w:t xml:space="preserve">, t. j. </w:t>
      </w:r>
      <w:r w:rsidR="00A707E2" w:rsidRPr="00B7616E">
        <w:rPr>
          <w:rFonts w:ascii="Calibri" w:hAnsi="Calibri" w:cs="Calibri"/>
          <w:sz w:val="21"/>
          <w:szCs w:val="21"/>
          <w:lang w:val="sk-SK"/>
        </w:rPr>
        <w:t>noriem</w:t>
      </w:r>
      <w:r w:rsidR="002D38D5" w:rsidRPr="00B7616E">
        <w:rPr>
          <w:rFonts w:ascii="Calibri" w:hAnsi="Calibri" w:cs="Calibri"/>
          <w:sz w:val="21"/>
          <w:szCs w:val="21"/>
          <w:lang w:val="sk-SK"/>
        </w:rPr>
        <w:t xml:space="preserve">, ktorými </w:t>
      </w:r>
      <w:r w:rsidR="009210A0" w:rsidRPr="00B7616E">
        <w:rPr>
          <w:rFonts w:ascii="Calibri" w:hAnsi="Calibri" w:cs="Calibri"/>
          <w:sz w:val="21"/>
          <w:szCs w:val="21"/>
          <w:lang w:val="sk-SK"/>
        </w:rPr>
        <w:t>preberie svoje medzinárodno</w:t>
      </w:r>
      <w:r w:rsidR="002D38D5" w:rsidRPr="00B7616E">
        <w:rPr>
          <w:rFonts w:ascii="Calibri" w:hAnsi="Calibri" w:cs="Calibri"/>
          <w:sz w:val="21"/>
          <w:szCs w:val="21"/>
          <w:lang w:val="sk-SK"/>
        </w:rPr>
        <w:t>právne záväzky</w:t>
      </w:r>
      <w:r w:rsidR="009210A0" w:rsidRPr="00B7616E">
        <w:rPr>
          <w:rFonts w:ascii="Calibri" w:hAnsi="Calibri" w:cs="Calibri"/>
          <w:sz w:val="21"/>
          <w:szCs w:val="21"/>
          <w:lang w:val="sk-SK"/>
        </w:rPr>
        <w:t xml:space="preserve"> do svojho právneho poriadku. </w:t>
      </w:r>
    </w:p>
    <w:p w:rsidR="00A707E2" w:rsidRPr="00B7616E" w:rsidRDefault="00A707E2" w:rsidP="002D38D5">
      <w:pPr>
        <w:rPr>
          <w:rFonts w:ascii="Calibri" w:hAnsi="Calibri" w:cs="Calibri"/>
          <w:sz w:val="21"/>
          <w:szCs w:val="21"/>
          <w:lang w:val="sk-SK"/>
        </w:rPr>
      </w:pPr>
    </w:p>
    <w:p w:rsidR="002D38D5" w:rsidRPr="00B7616E" w:rsidRDefault="00A707E2" w:rsidP="002D38D5">
      <w:pPr>
        <w:rPr>
          <w:rFonts w:ascii="Calibri" w:hAnsi="Calibri" w:cs="Calibri"/>
          <w:sz w:val="21"/>
          <w:szCs w:val="21"/>
          <w:lang w:val="sk-SK"/>
        </w:rPr>
      </w:pPr>
      <w:r w:rsidRPr="00B7616E">
        <w:rPr>
          <w:rFonts w:ascii="Calibri" w:hAnsi="Calibri" w:cs="Calibri"/>
          <w:sz w:val="21"/>
          <w:szCs w:val="21"/>
          <w:lang w:val="sk-SK"/>
        </w:rPr>
        <w:lastRenderedPageBreak/>
        <w:t xml:space="preserve">Vo všeobecnosti rozoznávame tieto </w:t>
      </w:r>
      <w:r w:rsidRPr="00B7616E">
        <w:rPr>
          <w:rFonts w:ascii="Calibri" w:hAnsi="Calibri" w:cs="Calibri"/>
          <w:b/>
          <w:i/>
          <w:sz w:val="21"/>
          <w:szCs w:val="21"/>
          <w:lang w:val="sk-SK"/>
        </w:rPr>
        <w:t>spôsoby recepcie</w:t>
      </w:r>
      <w:r w:rsidRPr="00B7616E">
        <w:rPr>
          <w:rFonts w:ascii="Calibri" w:hAnsi="Calibri" w:cs="Calibri"/>
          <w:sz w:val="21"/>
          <w:szCs w:val="21"/>
          <w:lang w:val="sk-SK"/>
        </w:rPr>
        <w:t>:</w:t>
      </w:r>
    </w:p>
    <w:p w:rsidR="002D38D5" w:rsidRPr="00B7616E" w:rsidRDefault="002D38D5" w:rsidP="00A707E2">
      <w:pPr>
        <w:spacing w:after="120"/>
        <w:jc w:val="both"/>
        <w:rPr>
          <w:rFonts w:ascii="Calibri" w:hAnsi="Calibri" w:cs="Calibri"/>
          <w:sz w:val="21"/>
          <w:szCs w:val="21"/>
          <w:lang w:val="sk-SK"/>
        </w:rPr>
      </w:pPr>
      <w:r w:rsidRPr="00B7616E">
        <w:rPr>
          <w:rFonts w:ascii="Calibri" w:hAnsi="Calibri" w:cs="Calibri"/>
          <w:b/>
          <w:sz w:val="21"/>
          <w:szCs w:val="21"/>
          <w:lang w:val="sk-SK"/>
        </w:rPr>
        <w:t>a)</w:t>
      </w:r>
      <w:r w:rsidRPr="00B7616E">
        <w:rPr>
          <w:rFonts w:ascii="Calibri" w:hAnsi="Calibri" w:cs="Calibri"/>
          <w:sz w:val="21"/>
          <w:szCs w:val="21"/>
          <w:lang w:val="sk-SK"/>
        </w:rPr>
        <w:t xml:space="preserve"> </w:t>
      </w:r>
      <w:r w:rsidRPr="00B7616E">
        <w:rPr>
          <w:rFonts w:ascii="Calibri" w:hAnsi="Calibri" w:cs="Calibri"/>
          <w:b/>
          <w:sz w:val="21"/>
          <w:szCs w:val="21"/>
          <w:lang w:val="sk-SK"/>
        </w:rPr>
        <w:t>Transformácia</w:t>
      </w:r>
      <w:r w:rsidR="00A707E2" w:rsidRPr="00B7616E">
        <w:rPr>
          <w:rFonts w:ascii="Calibri" w:hAnsi="Calibri" w:cs="Calibri"/>
          <w:sz w:val="21"/>
          <w:szCs w:val="21"/>
          <w:lang w:val="sk-SK"/>
        </w:rPr>
        <w:t xml:space="preserve"> – normatívne vety obsiahnuté v</w:t>
      </w:r>
      <w:r w:rsidRPr="00B7616E">
        <w:rPr>
          <w:rFonts w:ascii="Calibri" w:hAnsi="Calibri" w:cs="Calibri"/>
          <w:sz w:val="21"/>
          <w:szCs w:val="21"/>
          <w:lang w:val="sk-SK"/>
        </w:rPr>
        <w:t xml:space="preserve"> medzinárodnej zmluve sa príjmu ešte raz, v identickom znení, avšak tentokrát vo forme niektorého z domácich prameňov práva. Teda jedna </w:t>
      </w:r>
      <w:r w:rsidR="00A707E2" w:rsidRPr="00B7616E">
        <w:rPr>
          <w:rFonts w:ascii="Calibri" w:hAnsi="Calibri" w:cs="Calibri"/>
          <w:sz w:val="21"/>
          <w:szCs w:val="21"/>
          <w:lang w:val="sk-SK"/>
        </w:rPr>
        <w:t>norma</w:t>
      </w:r>
      <w:r w:rsidRPr="00B7616E">
        <w:rPr>
          <w:rFonts w:ascii="Calibri" w:hAnsi="Calibri" w:cs="Calibri"/>
          <w:sz w:val="21"/>
          <w:szCs w:val="21"/>
          <w:lang w:val="sk-SK"/>
        </w:rPr>
        <w:t xml:space="preserve"> existuje v dvoch formách – jednak v medzinárodnej zmluve, jedna</w:t>
      </w:r>
      <w:r w:rsidR="00237580" w:rsidRPr="00B7616E">
        <w:rPr>
          <w:rFonts w:ascii="Calibri" w:hAnsi="Calibri" w:cs="Calibri"/>
          <w:sz w:val="21"/>
          <w:szCs w:val="21"/>
          <w:lang w:val="sk-SK"/>
        </w:rPr>
        <w:t>k</w:t>
      </w:r>
      <w:r w:rsidRPr="00B7616E">
        <w:rPr>
          <w:rFonts w:ascii="Calibri" w:hAnsi="Calibri" w:cs="Calibri"/>
          <w:sz w:val="21"/>
          <w:szCs w:val="21"/>
          <w:lang w:val="sk-SK"/>
        </w:rPr>
        <w:t xml:space="preserve"> vo vnútroštátnom predpise. Preto sa v súvislosti s transformáciou niekedy hovorí aj o formálnom dualizme. </w:t>
      </w:r>
    </w:p>
    <w:p w:rsidR="00A707E2" w:rsidRPr="00B7616E" w:rsidRDefault="002D38D5" w:rsidP="00A707E2">
      <w:pPr>
        <w:spacing w:after="120"/>
        <w:jc w:val="both"/>
        <w:rPr>
          <w:rFonts w:ascii="Calibri" w:hAnsi="Calibri" w:cs="Calibri"/>
          <w:sz w:val="21"/>
          <w:szCs w:val="21"/>
          <w:lang w:val="sk-SK"/>
        </w:rPr>
      </w:pPr>
      <w:r w:rsidRPr="00B7616E">
        <w:rPr>
          <w:rFonts w:ascii="Calibri" w:hAnsi="Calibri" w:cs="Calibri"/>
          <w:b/>
          <w:sz w:val="21"/>
          <w:szCs w:val="21"/>
          <w:lang w:val="sk-SK"/>
        </w:rPr>
        <w:t>b) Adaptácia</w:t>
      </w:r>
      <w:r w:rsidRPr="00B7616E">
        <w:rPr>
          <w:rFonts w:ascii="Calibri" w:hAnsi="Calibri" w:cs="Calibri"/>
          <w:sz w:val="21"/>
          <w:szCs w:val="21"/>
          <w:lang w:val="sk-SK"/>
        </w:rPr>
        <w:t xml:space="preserve"> –</w:t>
      </w:r>
      <w:r w:rsidR="00A707E2" w:rsidRPr="00B7616E">
        <w:rPr>
          <w:rFonts w:ascii="Calibri" w:hAnsi="Calibri" w:cs="Calibri"/>
          <w:sz w:val="21"/>
          <w:szCs w:val="21"/>
          <w:lang w:val="sk-SK"/>
        </w:rPr>
        <w:t xml:space="preserve"> dochádza</w:t>
      </w:r>
      <w:r w:rsidRPr="00B7616E">
        <w:rPr>
          <w:rFonts w:ascii="Calibri" w:hAnsi="Calibri" w:cs="Calibri"/>
          <w:sz w:val="21"/>
          <w:szCs w:val="21"/>
          <w:lang w:val="sk-SK"/>
        </w:rPr>
        <w:t xml:space="preserve"> len</w:t>
      </w:r>
      <w:r w:rsidR="00A707E2" w:rsidRPr="00B7616E">
        <w:rPr>
          <w:rFonts w:ascii="Calibri" w:hAnsi="Calibri" w:cs="Calibri"/>
          <w:sz w:val="21"/>
          <w:szCs w:val="21"/>
          <w:lang w:val="sk-SK"/>
        </w:rPr>
        <w:t xml:space="preserve"> k</w:t>
      </w:r>
      <w:r w:rsidRPr="00B7616E">
        <w:rPr>
          <w:rFonts w:ascii="Calibri" w:hAnsi="Calibri" w:cs="Calibri"/>
          <w:sz w:val="21"/>
          <w:szCs w:val="21"/>
          <w:lang w:val="sk-SK"/>
        </w:rPr>
        <w:t xml:space="preserve"> približnému obsahovému prevzatiu MPV do VP. V praxi to vyzerá tak, že štát príjme medzinárodnú zmluvu a následne sa </w:t>
      </w:r>
      <w:r w:rsidR="00A707E2" w:rsidRPr="00B7616E">
        <w:rPr>
          <w:rFonts w:ascii="Calibri" w:hAnsi="Calibri" w:cs="Calibri"/>
          <w:sz w:val="21"/>
          <w:szCs w:val="21"/>
          <w:lang w:val="sk-SK"/>
        </w:rPr>
        <w:t>štátne orgány rozhodnú</w:t>
      </w:r>
      <w:r w:rsidRPr="00B7616E">
        <w:rPr>
          <w:rFonts w:ascii="Calibri" w:hAnsi="Calibri" w:cs="Calibri"/>
          <w:sz w:val="21"/>
          <w:szCs w:val="21"/>
          <w:lang w:val="sk-SK"/>
        </w:rPr>
        <w:t xml:space="preserve">, ktoré jej časti a v akej podobe </w:t>
      </w:r>
      <w:r w:rsidR="00A707E2" w:rsidRPr="00B7616E">
        <w:rPr>
          <w:rFonts w:ascii="Calibri" w:hAnsi="Calibri" w:cs="Calibri"/>
          <w:sz w:val="21"/>
          <w:szCs w:val="21"/>
          <w:lang w:val="sk-SK"/>
        </w:rPr>
        <w:t xml:space="preserve">prevezmú. Môžu prevziať len niektoré zmluvné ustanovenia, napríklad prijatím predpisu s podobným obsahom alebo novelizáciou už existujúcich predpisov. </w:t>
      </w:r>
      <w:r w:rsidR="00CE317B" w:rsidRPr="00B7616E">
        <w:rPr>
          <w:rFonts w:ascii="Calibri" w:hAnsi="Calibri" w:cs="Calibri"/>
          <w:sz w:val="21"/>
          <w:szCs w:val="21"/>
          <w:lang w:val="sk-SK"/>
        </w:rPr>
        <w:t xml:space="preserve">Adaptácia sa hodí na preberanie zmlúv s príliš vágnymi ustanoveniami alebo zmlúv, ktoré zaväzujú štáty na dosiahnutie nejakých cieľov, napr. v oblasti ochrany životného prostredia. </w:t>
      </w:r>
    </w:p>
    <w:p w:rsidR="002D38D5" w:rsidRPr="00B7616E" w:rsidRDefault="002D38D5" w:rsidP="00CE317B">
      <w:pPr>
        <w:spacing w:after="120"/>
        <w:jc w:val="both"/>
        <w:rPr>
          <w:rFonts w:ascii="Calibri" w:hAnsi="Calibri" w:cs="Calibri"/>
          <w:sz w:val="21"/>
          <w:szCs w:val="21"/>
          <w:lang w:val="sk-SK"/>
        </w:rPr>
      </w:pPr>
      <w:r w:rsidRPr="00B7616E">
        <w:rPr>
          <w:rFonts w:ascii="Calibri" w:hAnsi="Calibri" w:cs="Calibri"/>
          <w:b/>
          <w:sz w:val="21"/>
          <w:szCs w:val="21"/>
          <w:lang w:val="sk-SK"/>
        </w:rPr>
        <w:t>c) Inkorporácia</w:t>
      </w:r>
      <w:r w:rsidRPr="00B7616E">
        <w:rPr>
          <w:rFonts w:ascii="Calibri" w:hAnsi="Calibri" w:cs="Calibri"/>
          <w:sz w:val="21"/>
          <w:szCs w:val="21"/>
          <w:lang w:val="sk-SK"/>
        </w:rPr>
        <w:t xml:space="preserve"> – spočíva v tom, že sa celá medzinárodná zmluva vtiahne priamo do vnútroštátneho právneho poriadku. </w:t>
      </w:r>
      <w:r w:rsidR="00A707E2" w:rsidRPr="00B7616E">
        <w:rPr>
          <w:rFonts w:ascii="Calibri" w:hAnsi="Calibri" w:cs="Calibri"/>
          <w:sz w:val="21"/>
          <w:szCs w:val="21"/>
          <w:lang w:val="sk-SK"/>
        </w:rPr>
        <w:t xml:space="preserve">Štát jednoducho príslušnú zmluvu vyhlási v zbierke zákonov tak, ako bola dojednaná, resp. v preklade do štátneho jazyka. </w:t>
      </w:r>
      <w:r w:rsidRPr="00B7616E">
        <w:rPr>
          <w:rFonts w:ascii="Calibri" w:hAnsi="Calibri" w:cs="Calibri"/>
          <w:sz w:val="21"/>
          <w:szCs w:val="21"/>
          <w:lang w:val="sk-SK"/>
        </w:rPr>
        <w:t xml:space="preserve">Pri takejto recepcii sa hovorí, že ide o formálny monizmus, </w:t>
      </w:r>
      <w:r w:rsidR="00237580" w:rsidRPr="00B7616E">
        <w:rPr>
          <w:rFonts w:ascii="Calibri" w:hAnsi="Calibri" w:cs="Calibri"/>
          <w:sz w:val="21"/>
          <w:szCs w:val="21"/>
          <w:lang w:val="sk-SK"/>
        </w:rPr>
        <w:t>keďže</w:t>
      </w:r>
      <w:r w:rsidRPr="00B7616E">
        <w:rPr>
          <w:rFonts w:ascii="Calibri" w:hAnsi="Calibri" w:cs="Calibri"/>
          <w:sz w:val="21"/>
          <w:szCs w:val="21"/>
          <w:lang w:val="sk-SK"/>
        </w:rPr>
        <w:t xml:space="preserve"> normatívne vety tu nie sú v dvoch právnych formách, ale len v jednej. </w:t>
      </w:r>
      <w:r w:rsidR="00CE317B" w:rsidRPr="00B7616E">
        <w:rPr>
          <w:rFonts w:ascii="Calibri" w:hAnsi="Calibri" w:cs="Calibri"/>
          <w:sz w:val="21"/>
          <w:szCs w:val="21"/>
          <w:lang w:val="sk-SK"/>
        </w:rPr>
        <w:t>Iba dostatočné určité a adresné zmluvy</w:t>
      </w:r>
      <w:r w:rsidR="00237580" w:rsidRPr="00B7616E">
        <w:rPr>
          <w:rFonts w:ascii="Calibri" w:hAnsi="Calibri" w:cs="Calibri"/>
          <w:sz w:val="21"/>
          <w:szCs w:val="21"/>
          <w:lang w:val="sk-SK"/>
        </w:rPr>
        <w:t xml:space="preserve"> (tzv. „</w:t>
      </w:r>
      <w:proofErr w:type="spellStart"/>
      <w:r w:rsidR="00237580" w:rsidRPr="00B7616E">
        <w:rPr>
          <w:rFonts w:ascii="Calibri" w:hAnsi="Calibri" w:cs="Calibri"/>
          <w:sz w:val="21"/>
          <w:szCs w:val="21"/>
          <w:lang w:val="sk-SK"/>
        </w:rPr>
        <w:t>samovykonateľné</w:t>
      </w:r>
      <w:proofErr w:type="spellEnd"/>
      <w:r w:rsidR="00237580" w:rsidRPr="00B7616E">
        <w:rPr>
          <w:rFonts w:ascii="Calibri" w:hAnsi="Calibri" w:cs="Calibri"/>
          <w:sz w:val="21"/>
          <w:szCs w:val="21"/>
          <w:lang w:val="sk-SK"/>
        </w:rPr>
        <w:t>“ zmluvy)</w:t>
      </w:r>
      <w:r w:rsidR="00CE317B" w:rsidRPr="00B7616E">
        <w:rPr>
          <w:rFonts w:ascii="Calibri" w:hAnsi="Calibri" w:cs="Calibri"/>
          <w:sz w:val="21"/>
          <w:szCs w:val="21"/>
          <w:lang w:val="sk-SK"/>
        </w:rPr>
        <w:t xml:space="preserve"> sa hodia na takýto spôsob recepcie, pretože v opačnom prípade by sa dané zmluvy nedali aplikovať na konkrétne prípady. </w:t>
      </w:r>
    </w:p>
    <w:p w:rsidR="002D38D5" w:rsidRPr="00B7616E" w:rsidRDefault="002D38D5" w:rsidP="00CE317B">
      <w:pPr>
        <w:spacing w:after="120"/>
        <w:jc w:val="both"/>
        <w:rPr>
          <w:rFonts w:ascii="Calibri" w:hAnsi="Calibri" w:cs="Calibri"/>
          <w:sz w:val="21"/>
          <w:szCs w:val="21"/>
          <w:lang w:val="sk-SK"/>
        </w:rPr>
      </w:pPr>
      <w:r w:rsidRPr="00B7616E">
        <w:rPr>
          <w:rFonts w:ascii="Calibri" w:hAnsi="Calibri" w:cs="Calibri"/>
          <w:b/>
          <w:sz w:val="21"/>
          <w:szCs w:val="21"/>
          <w:lang w:val="sk-SK"/>
        </w:rPr>
        <w:t>d) Adopcia</w:t>
      </w:r>
      <w:r w:rsidRPr="00B7616E">
        <w:rPr>
          <w:rFonts w:ascii="Calibri" w:hAnsi="Calibri" w:cs="Calibri"/>
          <w:sz w:val="21"/>
          <w:szCs w:val="21"/>
          <w:lang w:val="sk-SK"/>
        </w:rPr>
        <w:t xml:space="preserve"> – posledným spôsobom recepcie je adopcia, ktorá sa využíva predovšetkým v anglo-amerických krajinách. Ide o to, že sa sudca priamo v konkrétnom konaní rozhodne aplikovať určitú normu medzin</w:t>
      </w:r>
      <w:r w:rsidR="006666EF">
        <w:rPr>
          <w:rFonts w:ascii="Calibri" w:hAnsi="Calibri" w:cs="Calibri"/>
          <w:sz w:val="21"/>
          <w:szCs w:val="21"/>
          <w:lang w:val="sk-SK"/>
        </w:rPr>
        <w:t>árodného práva na vnútroštátny</w:t>
      </w:r>
      <w:r w:rsidRPr="00B7616E">
        <w:rPr>
          <w:rFonts w:ascii="Calibri" w:hAnsi="Calibri" w:cs="Calibri"/>
          <w:sz w:val="21"/>
          <w:szCs w:val="21"/>
          <w:lang w:val="sk-SK"/>
        </w:rPr>
        <w:t xml:space="preserve"> právny vzťah. Je to teda niečo ako osvojenie normy priamo pri riešení konkrétneho prípadu. Takáto forma recepcie je v našich podmienkach predstaviteľná len v rozhodovacej činnosti ústavného</w:t>
      </w:r>
      <w:r w:rsidR="00CE317B" w:rsidRPr="00B7616E">
        <w:rPr>
          <w:rFonts w:ascii="Calibri" w:hAnsi="Calibri" w:cs="Calibri"/>
          <w:sz w:val="21"/>
          <w:szCs w:val="21"/>
          <w:lang w:val="sk-SK"/>
        </w:rPr>
        <w:t xml:space="preserve"> súdu</w:t>
      </w:r>
      <w:r w:rsidRPr="00B7616E">
        <w:rPr>
          <w:rFonts w:ascii="Calibri" w:hAnsi="Calibri" w:cs="Calibri"/>
          <w:sz w:val="21"/>
          <w:szCs w:val="21"/>
          <w:lang w:val="sk-SK"/>
        </w:rPr>
        <w:t xml:space="preserve">. </w:t>
      </w:r>
    </w:p>
    <w:p w:rsidR="002D38D5" w:rsidRPr="00B7616E" w:rsidRDefault="002D38D5" w:rsidP="00CE317B">
      <w:pPr>
        <w:spacing w:after="120"/>
        <w:jc w:val="both"/>
        <w:rPr>
          <w:rFonts w:ascii="Calibri" w:hAnsi="Calibri" w:cs="Calibri"/>
          <w:b/>
          <w:sz w:val="21"/>
          <w:szCs w:val="21"/>
          <w:lang w:val="sk-SK"/>
        </w:rPr>
      </w:pPr>
      <w:r w:rsidRPr="00B7616E">
        <w:rPr>
          <w:rFonts w:ascii="Calibri" w:hAnsi="Calibri" w:cs="Calibri"/>
          <w:b/>
          <w:sz w:val="21"/>
          <w:szCs w:val="21"/>
          <w:lang w:val="sk-SK"/>
        </w:rPr>
        <w:t>Recepcia MPV podľa slovenského ústavného práva</w:t>
      </w:r>
    </w:p>
    <w:p w:rsidR="00CE317B" w:rsidRPr="00B7616E" w:rsidRDefault="00CE317B" w:rsidP="00CE317B">
      <w:pPr>
        <w:spacing w:after="120"/>
        <w:jc w:val="both"/>
        <w:rPr>
          <w:rFonts w:ascii="Calibri" w:hAnsi="Calibri" w:cs="Calibri"/>
          <w:sz w:val="21"/>
          <w:szCs w:val="21"/>
          <w:lang w:val="sk-SK"/>
        </w:rPr>
      </w:pPr>
      <w:r w:rsidRPr="00B7616E">
        <w:rPr>
          <w:rFonts w:ascii="Calibri" w:hAnsi="Calibri" w:cs="Calibri"/>
          <w:sz w:val="21"/>
          <w:szCs w:val="21"/>
          <w:lang w:val="sk-SK"/>
        </w:rPr>
        <w:t>Slovenská ústava preberá MPV vo viacerých ustanoveniach. Základ recepcie nájdeme v tzv. generálnej recepčnej norme (čl. 1 ods. 2), ktorá znie takto:</w:t>
      </w:r>
    </w:p>
    <w:p w:rsidR="00237580" w:rsidRPr="00B7616E" w:rsidRDefault="00237580" w:rsidP="00237580">
      <w:pPr>
        <w:pBdr>
          <w:top w:val="single" w:sz="4" w:space="1" w:color="auto"/>
          <w:left w:val="single" w:sz="4" w:space="4" w:color="auto"/>
          <w:bottom w:val="single" w:sz="4" w:space="1" w:color="auto"/>
          <w:right w:val="single" w:sz="4" w:space="4" w:color="auto"/>
        </w:pBdr>
        <w:spacing w:after="120"/>
        <w:rPr>
          <w:rFonts w:cstheme="minorHAnsi"/>
          <w:sz w:val="21"/>
          <w:szCs w:val="21"/>
          <w:lang w:val="sk-SK"/>
        </w:rPr>
      </w:pPr>
      <w:r w:rsidRPr="00B7616E">
        <w:rPr>
          <w:rFonts w:cstheme="minorHAnsi"/>
          <w:sz w:val="21"/>
          <w:szCs w:val="21"/>
          <w:lang w:val="sk-SK"/>
        </w:rPr>
        <w:t>„</w:t>
      </w:r>
      <w:r w:rsidRPr="00B7616E">
        <w:rPr>
          <w:rFonts w:cstheme="minorHAnsi"/>
          <w:i/>
          <w:sz w:val="21"/>
          <w:szCs w:val="21"/>
          <w:lang w:val="sk-SK"/>
        </w:rPr>
        <w:t>Slovenská republika uznáva a dodržiava všeobecné pravidlá medzinárodného práva, medzinárodné zmluvy, ktorými je viazaná, a svoje ďalšie medzinárodné záväzky.</w:t>
      </w:r>
      <w:r w:rsidRPr="00B7616E">
        <w:rPr>
          <w:rFonts w:cstheme="minorHAnsi"/>
          <w:sz w:val="21"/>
          <w:szCs w:val="21"/>
          <w:lang w:val="sk-SK"/>
        </w:rPr>
        <w:t>“</w:t>
      </w:r>
    </w:p>
    <w:p w:rsidR="00237580" w:rsidRPr="00B7616E" w:rsidRDefault="00CE317B" w:rsidP="00CE317B">
      <w:pPr>
        <w:spacing w:after="120"/>
        <w:jc w:val="both"/>
        <w:rPr>
          <w:rFonts w:ascii="Calibri" w:hAnsi="Calibri" w:cs="Calibri"/>
          <w:sz w:val="21"/>
          <w:szCs w:val="21"/>
          <w:lang w:val="sk-SK"/>
        </w:rPr>
      </w:pPr>
      <w:r w:rsidRPr="00B7616E">
        <w:rPr>
          <w:rFonts w:ascii="Calibri" w:hAnsi="Calibri" w:cs="Calibri"/>
          <w:sz w:val="21"/>
          <w:szCs w:val="21"/>
          <w:lang w:val="sk-SK"/>
        </w:rPr>
        <w:t>Ďalšie č</w:t>
      </w:r>
      <w:r w:rsidR="000B786F" w:rsidRPr="00B7616E">
        <w:rPr>
          <w:rFonts w:ascii="Calibri" w:hAnsi="Calibri" w:cs="Calibri"/>
          <w:sz w:val="21"/>
          <w:szCs w:val="21"/>
          <w:lang w:val="sk-SK"/>
        </w:rPr>
        <w:t xml:space="preserve">lánky ústavy bližšie špecifikujú spôsob, akým k tejto recepcii dochádza. Slovenská ústava je </w:t>
      </w:r>
      <w:r w:rsidR="00237580" w:rsidRPr="00B7616E">
        <w:rPr>
          <w:rFonts w:ascii="Calibri" w:hAnsi="Calibri" w:cs="Calibri"/>
          <w:sz w:val="21"/>
          <w:szCs w:val="21"/>
          <w:lang w:val="sk-SK"/>
        </w:rPr>
        <w:t xml:space="preserve">k </w:t>
      </w:r>
      <w:r w:rsidR="000B786F" w:rsidRPr="00B7616E">
        <w:rPr>
          <w:rFonts w:ascii="Calibri" w:hAnsi="Calibri" w:cs="Calibri"/>
          <w:sz w:val="21"/>
          <w:szCs w:val="21"/>
          <w:lang w:val="sk-SK"/>
        </w:rPr>
        <w:t xml:space="preserve">MPV pomerne ústretová, za určitých podmienok prikazuje štátnym orgánom nielen to, aby MPV priamo aplikovali, ale aj aby mu dali prioritu pred slovenským právom. V ústave existujú dva hlavné spôsoby, akým </w:t>
      </w:r>
      <w:r w:rsidR="00237580" w:rsidRPr="00B7616E">
        <w:rPr>
          <w:rFonts w:ascii="Calibri" w:hAnsi="Calibri" w:cs="Calibri"/>
          <w:sz w:val="21"/>
          <w:szCs w:val="21"/>
          <w:lang w:val="sk-SK"/>
        </w:rPr>
        <w:t>sa</w:t>
      </w:r>
      <w:r w:rsidR="000B786F" w:rsidRPr="00B7616E">
        <w:rPr>
          <w:rFonts w:ascii="Calibri" w:hAnsi="Calibri" w:cs="Calibri"/>
          <w:sz w:val="21"/>
          <w:szCs w:val="21"/>
          <w:lang w:val="sk-SK"/>
        </w:rPr>
        <w:t xml:space="preserve"> f</w:t>
      </w:r>
      <w:r w:rsidR="00237580" w:rsidRPr="00B7616E">
        <w:rPr>
          <w:rFonts w:ascii="Calibri" w:hAnsi="Calibri" w:cs="Calibri"/>
          <w:sz w:val="21"/>
          <w:szCs w:val="21"/>
          <w:lang w:val="sk-SK"/>
        </w:rPr>
        <w:t>avorizujú</w:t>
      </w:r>
      <w:r w:rsidR="000B786F" w:rsidRPr="00B7616E">
        <w:rPr>
          <w:rFonts w:ascii="Calibri" w:hAnsi="Calibri" w:cs="Calibri"/>
          <w:sz w:val="21"/>
          <w:szCs w:val="21"/>
          <w:lang w:val="sk-SK"/>
        </w:rPr>
        <w:t xml:space="preserve"> medzinárodné zmluvy</w:t>
      </w:r>
      <w:r w:rsidR="00237580" w:rsidRPr="00B7616E">
        <w:rPr>
          <w:rFonts w:ascii="Calibri" w:hAnsi="Calibri" w:cs="Calibri"/>
          <w:sz w:val="21"/>
          <w:szCs w:val="21"/>
          <w:lang w:val="sk-SK"/>
        </w:rPr>
        <w:t>:</w:t>
      </w:r>
    </w:p>
    <w:p w:rsidR="002D38D5" w:rsidRPr="00B7616E" w:rsidRDefault="002D38D5" w:rsidP="002D38D5">
      <w:pPr>
        <w:pStyle w:val="Zarkazkladnhotextu"/>
        <w:spacing w:after="120" w:line="276" w:lineRule="auto"/>
        <w:ind w:firstLine="0"/>
        <w:rPr>
          <w:rFonts w:ascii="Calibri" w:hAnsi="Calibri" w:cs="Calibri"/>
          <w:sz w:val="21"/>
          <w:szCs w:val="21"/>
        </w:rPr>
      </w:pPr>
      <w:r w:rsidRPr="00B7616E">
        <w:rPr>
          <w:rFonts w:ascii="Calibri" w:hAnsi="Calibri" w:cs="Calibri"/>
          <w:b/>
          <w:i/>
          <w:sz w:val="21"/>
          <w:szCs w:val="21"/>
        </w:rPr>
        <w:t>Prednosť medzinárodnej zmluvy</w:t>
      </w:r>
      <w:r w:rsidR="00237580" w:rsidRPr="00B7616E">
        <w:rPr>
          <w:rFonts w:ascii="Calibri" w:hAnsi="Calibri" w:cs="Calibri"/>
          <w:sz w:val="21"/>
          <w:szCs w:val="21"/>
        </w:rPr>
        <w:t xml:space="preserve"> je tzv. aplikačná prednosť, t. j. povinnosť</w:t>
      </w:r>
      <w:r w:rsidRPr="00B7616E">
        <w:rPr>
          <w:rFonts w:ascii="Calibri" w:hAnsi="Calibri" w:cs="Calibri"/>
          <w:sz w:val="21"/>
          <w:szCs w:val="21"/>
        </w:rPr>
        <w:t xml:space="preserve"> orgánu aplikácie práva v prípade konfliktu medzi medzinárodnou zmluvou a zákonom </w:t>
      </w:r>
      <w:r w:rsidR="00237580" w:rsidRPr="00B7616E">
        <w:rPr>
          <w:rFonts w:ascii="Calibri" w:hAnsi="Calibri" w:cs="Calibri"/>
          <w:sz w:val="21"/>
          <w:szCs w:val="21"/>
        </w:rPr>
        <w:t xml:space="preserve">použiť </w:t>
      </w:r>
      <w:r w:rsidRPr="00B7616E">
        <w:rPr>
          <w:rFonts w:ascii="Calibri" w:hAnsi="Calibri" w:cs="Calibri"/>
          <w:sz w:val="21"/>
          <w:szCs w:val="21"/>
        </w:rPr>
        <w:t xml:space="preserve">zmluvu. </w:t>
      </w:r>
      <w:r w:rsidR="00237580" w:rsidRPr="00B7616E">
        <w:rPr>
          <w:rFonts w:ascii="Calibri" w:hAnsi="Calibri" w:cs="Calibri"/>
          <w:sz w:val="21"/>
          <w:szCs w:val="21"/>
        </w:rPr>
        <w:t>P</w:t>
      </w:r>
      <w:r w:rsidRPr="00B7616E">
        <w:rPr>
          <w:rFonts w:ascii="Calibri" w:hAnsi="Calibri" w:cs="Calibri"/>
          <w:sz w:val="21"/>
          <w:szCs w:val="21"/>
        </w:rPr>
        <w:t>riame použitie zmluvy nemá žiaden dopad na platnosť zákona, pred kto</w:t>
      </w:r>
      <w:r w:rsidR="00237580" w:rsidRPr="00B7616E">
        <w:rPr>
          <w:rFonts w:ascii="Calibri" w:hAnsi="Calibri" w:cs="Calibri"/>
          <w:sz w:val="21"/>
          <w:szCs w:val="21"/>
        </w:rPr>
        <w:t xml:space="preserve">rým jej bola priznaná prednosť (je to podobné, ako v prípade aplikácie kolízneho pravidla </w:t>
      </w:r>
      <w:proofErr w:type="spellStart"/>
      <w:r w:rsidR="00237580" w:rsidRPr="00B7616E">
        <w:rPr>
          <w:rFonts w:ascii="Calibri" w:hAnsi="Calibri" w:cs="Calibri"/>
          <w:i/>
          <w:sz w:val="21"/>
          <w:szCs w:val="21"/>
        </w:rPr>
        <w:t>lex</w:t>
      </w:r>
      <w:proofErr w:type="spellEnd"/>
      <w:r w:rsidR="00237580" w:rsidRPr="00B7616E">
        <w:rPr>
          <w:rFonts w:ascii="Calibri" w:hAnsi="Calibri" w:cs="Calibri"/>
          <w:i/>
          <w:sz w:val="21"/>
          <w:szCs w:val="21"/>
        </w:rPr>
        <w:t xml:space="preserve"> </w:t>
      </w:r>
      <w:proofErr w:type="spellStart"/>
      <w:r w:rsidR="00237580" w:rsidRPr="00B7616E">
        <w:rPr>
          <w:rFonts w:ascii="Calibri" w:hAnsi="Calibri" w:cs="Calibri"/>
          <w:i/>
          <w:sz w:val="21"/>
          <w:szCs w:val="21"/>
        </w:rPr>
        <w:t>specialis</w:t>
      </w:r>
      <w:proofErr w:type="spellEnd"/>
      <w:r w:rsidR="00237580" w:rsidRPr="00B7616E">
        <w:rPr>
          <w:rFonts w:ascii="Calibri" w:hAnsi="Calibri" w:cs="Calibri"/>
          <w:sz w:val="21"/>
          <w:szCs w:val="21"/>
        </w:rPr>
        <w:t xml:space="preserve"> alebo </w:t>
      </w:r>
      <w:proofErr w:type="spellStart"/>
      <w:r w:rsidR="00237580" w:rsidRPr="00B7616E">
        <w:rPr>
          <w:rFonts w:ascii="Calibri" w:hAnsi="Calibri" w:cs="Calibri"/>
          <w:i/>
          <w:sz w:val="21"/>
          <w:szCs w:val="21"/>
        </w:rPr>
        <w:t>lex</w:t>
      </w:r>
      <w:proofErr w:type="spellEnd"/>
      <w:r w:rsidR="00237580" w:rsidRPr="00B7616E">
        <w:rPr>
          <w:rFonts w:ascii="Calibri" w:hAnsi="Calibri" w:cs="Calibri"/>
          <w:i/>
          <w:sz w:val="21"/>
          <w:szCs w:val="21"/>
        </w:rPr>
        <w:t xml:space="preserve"> </w:t>
      </w:r>
      <w:proofErr w:type="spellStart"/>
      <w:r w:rsidR="00237580" w:rsidRPr="00B7616E">
        <w:rPr>
          <w:rFonts w:ascii="Calibri" w:hAnsi="Calibri" w:cs="Calibri"/>
          <w:i/>
          <w:sz w:val="21"/>
          <w:szCs w:val="21"/>
        </w:rPr>
        <w:t>posterior</w:t>
      </w:r>
      <w:proofErr w:type="spellEnd"/>
      <w:r w:rsidR="00237580" w:rsidRPr="00B7616E">
        <w:rPr>
          <w:rFonts w:ascii="Calibri" w:hAnsi="Calibri" w:cs="Calibri"/>
          <w:sz w:val="21"/>
          <w:szCs w:val="21"/>
        </w:rPr>
        <w:t xml:space="preserve">). </w:t>
      </w:r>
      <w:r w:rsidRPr="00B7616E">
        <w:rPr>
          <w:rFonts w:ascii="Calibri" w:hAnsi="Calibri" w:cs="Calibri"/>
          <w:sz w:val="21"/>
          <w:szCs w:val="21"/>
        </w:rPr>
        <w:t>Pozrime sa napr. na čl. 7 ods. 5 Ústavy SR, ktorý hovorí:</w:t>
      </w:r>
    </w:p>
    <w:p w:rsidR="002D38D5" w:rsidRPr="00B7616E" w:rsidRDefault="002D38D5" w:rsidP="002D38D5">
      <w:pPr>
        <w:pBdr>
          <w:top w:val="single" w:sz="4" w:space="1" w:color="auto"/>
          <w:left w:val="single" w:sz="4" w:space="4" w:color="auto"/>
          <w:bottom w:val="single" w:sz="4" w:space="1" w:color="auto"/>
          <w:right w:val="single" w:sz="4" w:space="4" w:color="auto"/>
        </w:pBdr>
        <w:spacing w:after="120"/>
        <w:rPr>
          <w:rFonts w:ascii="Calibri" w:eastAsia="Times New Roman" w:hAnsi="Calibri" w:cs="Calibri"/>
          <w:i/>
          <w:color w:val="000000"/>
          <w:sz w:val="21"/>
          <w:szCs w:val="21"/>
          <w:lang w:val="sk-SK" w:eastAsia="sk-SK"/>
        </w:rPr>
      </w:pPr>
      <w:r w:rsidRPr="00B7616E">
        <w:rPr>
          <w:rFonts w:ascii="Calibri" w:eastAsia="Times New Roman" w:hAnsi="Calibri" w:cs="Calibri"/>
          <w:i/>
          <w:color w:val="000000"/>
          <w:sz w:val="21"/>
          <w:szCs w:val="21"/>
          <w:lang w:val="sk-SK" w:eastAsia="sk-SK"/>
        </w:rPr>
        <w:t>Medzinárodné zmluvy o ľudských právach a základných slobodách, medzinárodné zmluvy, na ktorých vykonanie nie je potrebný zákon, a medzinárodné zmluvy, ktoré priamo zakladajú práva alebo povinnosti fyzických osôb alebo právnických osôb a ktoré boli ratifikované a vyhlásené spôsobom ustanoveným zákonom, majú prednosť pred zákonmi.</w:t>
      </w:r>
    </w:p>
    <w:p w:rsidR="002D38D5" w:rsidRPr="00B7616E" w:rsidRDefault="002D38D5" w:rsidP="002D38D5">
      <w:pPr>
        <w:pStyle w:val="Zarkazkladnhotextu"/>
        <w:spacing w:after="120" w:line="276" w:lineRule="auto"/>
        <w:ind w:firstLine="0"/>
        <w:rPr>
          <w:rFonts w:ascii="Calibri" w:hAnsi="Calibri" w:cs="Calibri"/>
          <w:sz w:val="21"/>
          <w:szCs w:val="21"/>
        </w:rPr>
      </w:pPr>
      <w:r w:rsidRPr="006666EF">
        <w:rPr>
          <w:rFonts w:ascii="Calibri" w:hAnsi="Calibri" w:cs="Calibri"/>
          <w:b/>
          <w:i/>
          <w:sz w:val="21"/>
          <w:szCs w:val="21"/>
        </w:rPr>
        <w:t>Inštitút vyššej právnej sily</w:t>
      </w:r>
      <w:r w:rsidRPr="00B7616E">
        <w:rPr>
          <w:rFonts w:ascii="Calibri" w:hAnsi="Calibri" w:cs="Calibri"/>
          <w:sz w:val="21"/>
          <w:szCs w:val="21"/>
        </w:rPr>
        <w:t xml:space="preserve"> naopak odráža hierarchiu prameňov práva a v konečnom dôsledku je predovšetkým smernicou adresovanou orgánom tvorby práva a ústavnému súdu. Ak ústava SR priznáva nejakej medzinárodnej zmluve vyššiu právnu silu, potom primárne nejde o to, aby sudcovia pri konflikte medzi zmluvou a zákonom dali prednosť zmluve, ide o to, že parlament má tvoriť zákony tak, aby neboli s danou zmluvou v rozpore, pričom ak tak nespraví, ústavný súd má možnosť a povinnosť daný zákon v rámci abstraktnej kontroly ústavnosti zrušiť.  Inštitút právnej sily medzinárodnej zmluvy je upravený v článku 125 Ústavy ods. 1.</w:t>
      </w:r>
      <w:r w:rsidR="00237580" w:rsidRPr="00B7616E">
        <w:rPr>
          <w:rFonts w:ascii="Calibri" w:hAnsi="Calibri" w:cs="Calibri"/>
          <w:sz w:val="21"/>
          <w:szCs w:val="21"/>
        </w:rPr>
        <w:t>:</w:t>
      </w:r>
      <w:r w:rsidRPr="00B7616E">
        <w:rPr>
          <w:rFonts w:ascii="Calibri" w:hAnsi="Calibri" w:cs="Calibri"/>
          <w:sz w:val="21"/>
          <w:szCs w:val="21"/>
        </w:rPr>
        <w:t xml:space="preserve"> </w:t>
      </w:r>
    </w:p>
    <w:p w:rsidR="002D38D5" w:rsidRPr="00B7616E" w:rsidRDefault="002D38D5" w:rsidP="002D38D5">
      <w:pPr>
        <w:pStyle w:val="Zarkazkladnhotextu"/>
        <w:pBdr>
          <w:top w:val="single" w:sz="4" w:space="1" w:color="auto"/>
          <w:left w:val="single" w:sz="4" w:space="4" w:color="auto"/>
          <w:bottom w:val="single" w:sz="4" w:space="1" w:color="auto"/>
          <w:right w:val="single" w:sz="4" w:space="4" w:color="auto"/>
        </w:pBdr>
        <w:spacing w:after="120" w:line="276" w:lineRule="auto"/>
        <w:ind w:firstLine="0"/>
        <w:jc w:val="left"/>
        <w:rPr>
          <w:rFonts w:ascii="Calibri" w:hAnsi="Calibri" w:cs="Calibri"/>
          <w:i/>
          <w:color w:val="000000"/>
          <w:sz w:val="21"/>
          <w:szCs w:val="21"/>
          <w:lang w:eastAsia="sk-SK"/>
        </w:rPr>
      </w:pPr>
      <w:r w:rsidRPr="00B7616E">
        <w:rPr>
          <w:rFonts w:ascii="Calibri" w:hAnsi="Calibri" w:cs="Calibri"/>
          <w:i/>
          <w:color w:val="000000"/>
          <w:sz w:val="21"/>
          <w:szCs w:val="21"/>
          <w:lang w:eastAsia="sk-SK"/>
        </w:rPr>
        <w:t>Ústavný súd rozhoduje o súlade</w:t>
      </w:r>
      <w:r w:rsidRPr="00B7616E">
        <w:rPr>
          <w:rFonts w:ascii="Calibri" w:hAnsi="Calibri" w:cs="Calibri"/>
          <w:i/>
          <w:color w:val="000000"/>
          <w:sz w:val="21"/>
          <w:szCs w:val="21"/>
          <w:lang w:eastAsia="sk-SK"/>
        </w:rPr>
        <w:br/>
        <w:t>a) zákonov s ústavou, s ústavnými zákonmi a s medzinárodnými zmluvami, s ktorými vyslovila súhlas Národná rada Slovenskej republiky a ktoré boli ratifikované a vyhlásené spôsobom ustanoveným zákonom, </w:t>
      </w:r>
    </w:p>
    <w:p w:rsidR="002D38D5" w:rsidRPr="007E0147" w:rsidRDefault="007E0147" w:rsidP="002D38D5">
      <w:pPr>
        <w:spacing w:after="120"/>
        <w:jc w:val="both"/>
        <w:rPr>
          <w:rFonts w:ascii="Calibri" w:hAnsi="Calibri" w:cs="Calibri"/>
          <w:b/>
          <w:sz w:val="21"/>
          <w:szCs w:val="21"/>
          <w:lang w:val="sk-SK"/>
        </w:rPr>
      </w:pPr>
      <w:r w:rsidRPr="007E0147">
        <w:rPr>
          <w:rFonts w:ascii="Calibri" w:hAnsi="Calibri" w:cs="Calibri"/>
          <w:b/>
          <w:sz w:val="21"/>
          <w:szCs w:val="21"/>
          <w:lang w:val="sk-SK"/>
        </w:rPr>
        <w:lastRenderedPageBreak/>
        <w:t xml:space="preserve">2. </w:t>
      </w:r>
      <w:r w:rsidR="002D38D5" w:rsidRPr="007E0147">
        <w:rPr>
          <w:rFonts w:ascii="Calibri" w:hAnsi="Calibri" w:cs="Calibri"/>
          <w:b/>
          <w:sz w:val="21"/>
          <w:szCs w:val="21"/>
          <w:lang w:val="sk-SK"/>
        </w:rPr>
        <w:t>Právo Európskej únie</w:t>
      </w:r>
    </w:p>
    <w:p w:rsidR="00237580" w:rsidRPr="00B7616E" w:rsidRDefault="00B7616E" w:rsidP="002D38D5">
      <w:pPr>
        <w:rPr>
          <w:rFonts w:ascii="Calibri" w:hAnsi="Calibri" w:cs="Calibri"/>
          <w:sz w:val="21"/>
          <w:szCs w:val="21"/>
          <w:lang w:val="sk-SK"/>
        </w:rPr>
      </w:pPr>
      <w:r>
        <w:rPr>
          <w:rFonts w:ascii="Calibri" w:hAnsi="Calibri" w:cs="Calibri"/>
          <w:b/>
          <w:sz w:val="21"/>
          <w:szCs w:val="21"/>
          <w:lang w:val="sk-SK"/>
        </w:rPr>
        <w:t>a</w:t>
      </w:r>
      <w:r w:rsidR="00C24ABB" w:rsidRPr="00B7616E">
        <w:rPr>
          <w:rFonts w:ascii="Calibri" w:hAnsi="Calibri" w:cs="Calibri"/>
          <w:b/>
          <w:sz w:val="21"/>
          <w:szCs w:val="21"/>
          <w:lang w:val="sk-SK"/>
        </w:rPr>
        <w:t>)</w:t>
      </w:r>
      <w:r w:rsidR="00C24ABB" w:rsidRPr="00B7616E">
        <w:rPr>
          <w:rFonts w:ascii="Calibri" w:hAnsi="Calibri" w:cs="Calibri"/>
          <w:sz w:val="21"/>
          <w:szCs w:val="21"/>
          <w:lang w:val="sk-SK"/>
        </w:rPr>
        <w:t xml:space="preserve"> V rámci európskej integrácie sa podarilo prekonať zásadu zvrchovanej rovnosti štátov</w:t>
      </w:r>
      <w:r w:rsidR="00237580" w:rsidRPr="00B7616E">
        <w:rPr>
          <w:rFonts w:ascii="Calibri" w:hAnsi="Calibri" w:cs="Calibri"/>
          <w:sz w:val="21"/>
          <w:szCs w:val="21"/>
          <w:lang w:val="sk-SK"/>
        </w:rPr>
        <w:t xml:space="preserve">. V práve EÚ teda neplatí to, čo platí v MPV – EÚ má osobitné </w:t>
      </w:r>
      <w:r w:rsidR="00237580" w:rsidRPr="00B7616E">
        <w:rPr>
          <w:rFonts w:ascii="Calibri" w:hAnsi="Calibri" w:cs="Calibri"/>
          <w:b/>
          <w:i/>
          <w:sz w:val="21"/>
          <w:szCs w:val="21"/>
          <w:lang w:val="sk-SK"/>
        </w:rPr>
        <w:t>centrálne inštitúcie s legislatívnou právomocou</w:t>
      </w:r>
      <w:r w:rsidR="00584736" w:rsidRPr="00B7616E">
        <w:rPr>
          <w:rFonts w:ascii="Calibri" w:hAnsi="Calibri" w:cs="Calibri"/>
          <w:sz w:val="21"/>
          <w:szCs w:val="21"/>
          <w:lang w:val="sk-SK"/>
        </w:rPr>
        <w:t xml:space="preserve">, ktoré môžu prijať všeobecne záväzné právne akty spravidla už </w:t>
      </w:r>
      <w:r w:rsidR="00584736" w:rsidRPr="00B7616E">
        <w:rPr>
          <w:rFonts w:ascii="Calibri" w:hAnsi="Calibri" w:cs="Calibri"/>
          <w:b/>
          <w:i/>
          <w:sz w:val="21"/>
          <w:szCs w:val="21"/>
          <w:lang w:val="sk-SK"/>
        </w:rPr>
        <w:t>na základe väčšinového hlasovania</w:t>
      </w:r>
      <w:r w:rsidR="00584736" w:rsidRPr="00B7616E">
        <w:rPr>
          <w:rFonts w:ascii="Calibri" w:hAnsi="Calibri" w:cs="Calibri"/>
          <w:sz w:val="21"/>
          <w:szCs w:val="21"/>
          <w:lang w:val="sk-SK"/>
        </w:rPr>
        <w:t xml:space="preserve">. EÚ má aj osobitný súdny systém, na ktorého vrchole stojí </w:t>
      </w:r>
      <w:r w:rsidR="00584736" w:rsidRPr="00B7616E">
        <w:rPr>
          <w:rFonts w:ascii="Calibri" w:hAnsi="Calibri" w:cs="Calibri"/>
          <w:b/>
          <w:i/>
          <w:sz w:val="21"/>
          <w:szCs w:val="21"/>
          <w:lang w:val="sk-SK"/>
        </w:rPr>
        <w:t>Súdny dvor EÚ</w:t>
      </w:r>
      <w:r w:rsidR="00584736" w:rsidRPr="00B7616E">
        <w:rPr>
          <w:rFonts w:ascii="Calibri" w:hAnsi="Calibri" w:cs="Calibri"/>
          <w:sz w:val="21"/>
          <w:szCs w:val="21"/>
          <w:lang w:val="sk-SK"/>
        </w:rPr>
        <w:t xml:space="preserve"> so sídlom v Luxemburgu. Tento súd má obligatórnu jurisdikciu, takže všetky členské štáty sú povinné sa podriadiť jeho verdiktom.</w:t>
      </w:r>
    </w:p>
    <w:p w:rsidR="00C24ABB" w:rsidRPr="00B7616E" w:rsidRDefault="00B7616E" w:rsidP="00584736">
      <w:pPr>
        <w:rPr>
          <w:rFonts w:ascii="Calibri" w:hAnsi="Calibri" w:cs="Calibri"/>
          <w:sz w:val="21"/>
          <w:szCs w:val="21"/>
          <w:lang w:val="sk-SK"/>
        </w:rPr>
      </w:pPr>
      <w:r>
        <w:rPr>
          <w:rFonts w:ascii="Calibri" w:hAnsi="Calibri" w:cs="Calibri"/>
          <w:b/>
          <w:sz w:val="21"/>
          <w:szCs w:val="21"/>
          <w:lang w:val="sk-SK"/>
        </w:rPr>
        <w:t>b</w:t>
      </w:r>
      <w:r w:rsidR="00C24ABB" w:rsidRPr="00B7616E">
        <w:rPr>
          <w:rFonts w:ascii="Calibri" w:hAnsi="Calibri" w:cs="Calibri"/>
          <w:b/>
          <w:sz w:val="21"/>
          <w:szCs w:val="21"/>
          <w:lang w:val="sk-SK"/>
        </w:rPr>
        <w:t>)</w:t>
      </w:r>
      <w:r w:rsidR="00C24ABB" w:rsidRPr="00B7616E">
        <w:rPr>
          <w:rFonts w:ascii="Calibri" w:hAnsi="Calibri" w:cs="Calibri"/>
          <w:sz w:val="21"/>
          <w:szCs w:val="21"/>
          <w:lang w:val="sk-SK"/>
        </w:rPr>
        <w:t xml:space="preserve"> Druhý zásadný rozdiel medzi právom EÚ a MPV spočíva v tom, že európske právo sa riadi </w:t>
      </w:r>
      <w:r w:rsidR="00C24ABB" w:rsidRPr="0084070D">
        <w:rPr>
          <w:rFonts w:ascii="Calibri" w:hAnsi="Calibri" w:cs="Calibri"/>
          <w:b/>
          <w:i/>
          <w:sz w:val="21"/>
          <w:szCs w:val="21"/>
          <w:lang w:val="sk-SK"/>
        </w:rPr>
        <w:t>zásadou priameho účinku</w:t>
      </w:r>
      <w:r w:rsidR="00C24ABB" w:rsidRPr="00B7616E">
        <w:rPr>
          <w:rFonts w:ascii="Calibri" w:hAnsi="Calibri" w:cs="Calibri"/>
          <w:b/>
          <w:sz w:val="21"/>
          <w:szCs w:val="21"/>
          <w:lang w:val="sk-SK"/>
        </w:rPr>
        <w:t>.</w:t>
      </w:r>
      <w:r w:rsidR="00C24ABB" w:rsidRPr="00B7616E">
        <w:rPr>
          <w:rFonts w:ascii="Calibri" w:hAnsi="Calibri" w:cs="Calibri"/>
          <w:sz w:val="21"/>
          <w:szCs w:val="21"/>
          <w:lang w:val="sk-SK"/>
        </w:rPr>
        <w:t xml:space="preserve"> </w:t>
      </w:r>
      <w:r w:rsidR="00584736" w:rsidRPr="00B7616E">
        <w:rPr>
          <w:rFonts w:ascii="Calibri" w:hAnsi="Calibri" w:cs="Calibri"/>
          <w:sz w:val="21"/>
          <w:szCs w:val="21"/>
          <w:lang w:val="sk-SK"/>
        </w:rPr>
        <w:t xml:space="preserve">To znamená, že súkromné osoby sa môžu dovolávať európskeho práva pred národnými súdmi aj bez toho, aby bolo toto právo oficiálne recipované do ich národných poriadkov. Judikatúra Súdneho dvora stanovuje tieto podmienky priameho účinku: </w:t>
      </w:r>
      <w:r w:rsidR="00584736" w:rsidRPr="00B7616E">
        <w:rPr>
          <w:rFonts w:ascii="Calibri" w:hAnsi="Calibri" w:cs="Calibri"/>
          <w:b/>
          <w:sz w:val="21"/>
          <w:szCs w:val="21"/>
          <w:lang w:val="sk-SK"/>
        </w:rPr>
        <w:t>i)</w:t>
      </w:r>
      <w:r w:rsidR="00C24ABB" w:rsidRPr="00B7616E">
        <w:rPr>
          <w:rFonts w:ascii="Calibri" w:hAnsi="Calibri" w:cs="Calibri"/>
          <w:sz w:val="21"/>
          <w:szCs w:val="21"/>
          <w:lang w:val="sk-SK"/>
        </w:rPr>
        <w:t xml:space="preserve"> daný </w:t>
      </w:r>
      <w:r w:rsidR="00584736" w:rsidRPr="00B7616E">
        <w:rPr>
          <w:rFonts w:ascii="Calibri" w:hAnsi="Calibri" w:cs="Calibri"/>
          <w:sz w:val="21"/>
          <w:szCs w:val="21"/>
          <w:lang w:val="sk-SK"/>
        </w:rPr>
        <w:t xml:space="preserve">právny </w:t>
      </w:r>
      <w:r w:rsidR="00C24ABB" w:rsidRPr="00B7616E">
        <w:rPr>
          <w:rFonts w:ascii="Calibri" w:hAnsi="Calibri" w:cs="Calibri"/>
          <w:sz w:val="21"/>
          <w:szCs w:val="21"/>
          <w:lang w:val="sk-SK"/>
        </w:rPr>
        <w:t>akt obsahuje jasne a jednoznačne vymedzené povinnosti;</w:t>
      </w:r>
      <w:r w:rsidR="00584736" w:rsidRPr="00B7616E">
        <w:rPr>
          <w:rFonts w:ascii="Calibri" w:hAnsi="Calibri" w:cs="Calibri"/>
          <w:sz w:val="21"/>
          <w:szCs w:val="21"/>
          <w:lang w:val="sk-SK"/>
        </w:rPr>
        <w:t xml:space="preserve"> </w:t>
      </w:r>
      <w:proofErr w:type="spellStart"/>
      <w:r w:rsidR="00C24ABB" w:rsidRPr="00B7616E">
        <w:rPr>
          <w:rFonts w:ascii="Calibri" w:hAnsi="Calibri" w:cs="Calibri"/>
          <w:b/>
          <w:sz w:val="21"/>
          <w:szCs w:val="21"/>
          <w:lang w:val="sk-SK"/>
        </w:rPr>
        <w:t>ii</w:t>
      </w:r>
      <w:proofErr w:type="spellEnd"/>
      <w:r w:rsidR="00C24ABB" w:rsidRPr="00B7616E">
        <w:rPr>
          <w:rFonts w:ascii="Calibri" w:hAnsi="Calibri" w:cs="Calibri"/>
          <w:b/>
          <w:sz w:val="21"/>
          <w:szCs w:val="21"/>
          <w:lang w:val="sk-SK"/>
        </w:rPr>
        <w:t>)</w:t>
      </w:r>
      <w:r w:rsidR="00C24ABB" w:rsidRPr="00B7616E">
        <w:rPr>
          <w:rFonts w:ascii="Calibri" w:hAnsi="Calibri" w:cs="Calibri"/>
          <w:sz w:val="21"/>
          <w:szCs w:val="21"/>
          <w:lang w:val="sk-SK"/>
        </w:rPr>
        <w:t xml:space="preserve"> jeho aplikácia je nepodmienená voľnou úvahou príslušného vnútroštátneho orgánu;</w:t>
      </w:r>
      <w:r w:rsidR="00584736" w:rsidRPr="00B7616E">
        <w:rPr>
          <w:rFonts w:ascii="Calibri" w:hAnsi="Calibri" w:cs="Calibri"/>
          <w:sz w:val="21"/>
          <w:szCs w:val="21"/>
          <w:lang w:val="sk-SK"/>
        </w:rPr>
        <w:t xml:space="preserve"> </w:t>
      </w:r>
      <w:proofErr w:type="spellStart"/>
      <w:r w:rsidR="00C24ABB" w:rsidRPr="00B7616E">
        <w:rPr>
          <w:rFonts w:ascii="Calibri" w:hAnsi="Calibri" w:cs="Calibri"/>
          <w:b/>
          <w:sz w:val="21"/>
          <w:szCs w:val="21"/>
          <w:lang w:val="sk-SK"/>
        </w:rPr>
        <w:t>iii</w:t>
      </w:r>
      <w:proofErr w:type="spellEnd"/>
      <w:r w:rsidR="00C24ABB" w:rsidRPr="00B7616E">
        <w:rPr>
          <w:rFonts w:ascii="Calibri" w:hAnsi="Calibri" w:cs="Calibri"/>
          <w:b/>
          <w:sz w:val="21"/>
          <w:szCs w:val="21"/>
          <w:lang w:val="sk-SK"/>
        </w:rPr>
        <w:t>)</w:t>
      </w:r>
      <w:r w:rsidR="00C24ABB" w:rsidRPr="00B7616E">
        <w:rPr>
          <w:rFonts w:ascii="Calibri" w:hAnsi="Calibri" w:cs="Calibri"/>
          <w:sz w:val="21"/>
          <w:szCs w:val="21"/>
          <w:lang w:val="sk-SK"/>
        </w:rPr>
        <w:t xml:space="preserve"> jeho uplatnenie nezávisí od prijatia iného opatrenia, či už na európskej alebo vnútroštátnej úrovni. </w:t>
      </w:r>
    </w:p>
    <w:p w:rsidR="00584736" w:rsidRPr="00B7616E" w:rsidRDefault="00B7616E" w:rsidP="00C24ABB">
      <w:pPr>
        <w:spacing w:after="120"/>
        <w:jc w:val="both"/>
        <w:rPr>
          <w:rFonts w:ascii="Calibri" w:hAnsi="Calibri" w:cs="Calibri"/>
          <w:sz w:val="21"/>
          <w:szCs w:val="21"/>
          <w:lang w:val="sk-SK"/>
        </w:rPr>
      </w:pPr>
      <w:r>
        <w:rPr>
          <w:rFonts w:ascii="Calibri" w:hAnsi="Calibri" w:cs="Calibri"/>
          <w:b/>
          <w:sz w:val="21"/>
          <w:szCs w:val="21"/>
          <w:lang w:val="sk-SK"/>
        </w:rPr>
        <w:t>c</w:t>
      </w:r>
      <w:r w:rsidR="00C24ABB" w:rsidRPr="00B7616E">
        <w:rPr>
          <w:rFonts w:ascii="Calibri" w:hAnsi="Calibri" w:cs="Calibri"/>
          <w:b/>
          <w:sz w:val="21"/>
          <w:szCs w:val="21"/>
          <w:lang w:val="sk-SK"/>
        </w:rPr>
        <w:t>)</w:t>
      </w:r>
      <w:r w:rsidR="00C24ABB" w:rsidRPr="00B7616E">
        <w:rPr>
          <w:rFonts w:ascii="Calibri" w:hAnsi="Calibri" w:cs="Calibri"/>
          <w:sz w:val="21"/>
          <w:szCs w:val="21"/>
          <w:lang w:val="sk-SK"/>
        </w:rPr>
        <w:t xml:space="preserve"> Tre</w:t>
      </w:r>
      <w:r w:rsidR="006666EF">
        <w:rPr>
          <w:rFonts w:ascii="Calibri" w:hAnsi="Calibri" w:cs="Calibri"/>
          <w:sz w:val="21"/>
          <w:szCs w:val="21"/>
          <w:lang w:val="sk-SK"/>
        </w:rPr>
        <w:t>tí a  najkontroverznejší</w:t>
      </w:r>
      <w:r w:rsidR="00C24ABB" w:rsidRPr="00B7616E">
        <w:rPr>
          <w:rFonts w:ascii="Calibri" w:hAnsi="Calibri" w:cs="Calibri"/>
          <w:sz w:val="21"/>
          <w:szCs w:val="21"/>
          <w:lang w:val="sk-SK"/>
        </w:rPr>
        <w:t xml:space="preserve"> znak práva EÚ spočíva v jeho </w:t>
      </w:r>
      <w:r w:rsidR="00C24ABB" w:rsidRPr="00B7616E">
        <w:rPr>
          <w:rFonts w:ascii="Calibri" w:hAnsi="Calibri" w:cs="Calibri"/>
          <w:b/>
          <w:i/>
          <w:sz w:val="21"/>
          <w:szCs w:val="21"/>
          <w:lang w:val="sk-SK"/>
        </w:rPr>
        <w:t>nadradenosti</w:t>
      </w:r>
      <w:r w:rsidR="00584736" w:rsidRPr="00B7616E">
        <w:rPr>
          <w:rFonts w:ascii="Calibri" w:hAnsi="Calibri" w:cs="Calibri"/>
          <w:sz w:val="21"/>
          <w:szCs w:val="21"/>
          <w:lang w:val="sk-SK"/>
        </w:rPr>
        <w:t xml:space="preserve">, ktorú formuloval Súdny dvor vo svojom </w:t>
      </w:r>
      <w:proofErr w:type="spellStart"/>
      <w:r w:rsidR="00584736" w:rsidRPr="00B7616E">
        <w:rPr>
          <w:rFonts w:ascii="Calibri" w:hAnsi="Calibri" w:cs="Calibri"/>
          <w:sz w:val="21"/>
          <w:szCs w:val="21"/>
          <w:lang w:val="sk-SK"/>
        </w:rPr>
        <w:t>case</w:t>
      </w:r>
      <w:proofErr w:type="spellEnd"/>
      <w:r w:rsidR="00584736" w:rsidRPr="00B7616E">
        <w:rPr>
          <w:rFonts w:ascii="Calibri" w:hAnsi="Calibri" w:cs="Calibri"/>
          <w:sz w:val="21"/>
          <w:szCs w:val="21"/>
          <w:lang w:val="sk-SK"/>
        </w:rPr>
        <w:t xml:space="preserve"> </w:t>
      </w:r>
      <w:proofErr w:type="spellStart"/>
      <w:r w:rsidR="00584736" w:rsidRPr="00B7616E">
        <w:rPr>
          <w:rFonts w:ascii="Calibri" w:hAnsi="Calibri" w:cs="Calibri"/>
          <w:sz w:val="21"/>
          <w:szCs w:val="21"/>
          <w:lang w:val="sk-SK"/>
        </w:rPr>
        <w:t>law</w:t>
      </w:r>
      <w:proofErr w:type="spellEnd"/>
      <w:r w:rsidR="00584736" w:rsidRPr="00B7616E">
        <w:rPr>
          <w:rFonts w:ascii="Calibri" w:hAnsi="Calibri" w:cs="Calibri"/>
          <w:sz w:val="21"/>
          <w:szCs w:val="21"/>
          <w:lang w:val="sk-SK"/>
        </w:rPr>
        <w:t xml:space="preserve">. </w:t>
      </w:r>
      <w:r w:rsidR="00C24ABB" w:rsidRPr="00B7616E">
        <w:rPr>
          <w:rFonts w:ascii="Calibri" w:hAnsi="Calibri" w:cs="Calibri"/>
          <w:sz w:val="21"/>
          <w:szCs w:val="21"/>
          <w:lang w:val="sk-SK"/>
        </w:rPr>
        <w:t xml:space="preserve">V prípade </w:t>
      </w:r>
      <w:proofErr w:type="spellStart"/>
      <w:r w:rsidR="00C24ABB" w:rsidRPr="00B7616E">
        <w:rPr>
          <w:rFonts w:ascii="Calibri" w:hAnsi="Calibri" w:cs="Calibri"/>
          <w:b/>
          <w:i/>
          <w:sz w:val="21"/>
          <w:szCs w:val="21"/>
          <w:lang w:val="sk-SK"/>
        </w:rPr>
        <w:t>Costa</w:t>
      </w:r>
      <w:proofErr w:type="spellEnd"/>
      <w:r w:rsidR="00C24ABB" w:rsidRPr="00B7616E">
        <w:rPr>
          <w:rFonts w:ascii="Calibri" w:hAnsi="Calibri" w:cs="Calibri"/>
          <w:b/>
          <w:i/>
          <w:sz w:val="21"/>
          <w:szCs w:val="21"/>
          <w:lang w:val="sk-SK"/>
        </w:rPr>
        <w:t xml:space="preserve"> v. </w:t>
      </w:r>
      <w:proofErr w:type="spellStart"/>
      <w:r w:rsidR="00C24ABB" w:rsidRPr="00B7616E">
        <w:rPr>
          <w:rFonts w:ascii="Calibri" w:hAnsi="Calibri" w:cs="Calibri"/>
          <w:b/>
          <w:i/>
          <w:sz w:val="21"/>
          <w:szCs w:val="21"/>
          <w:lang w:val="sk-SK"/>
        </w:rPr>
        <w:t>Enel</w:t>
      </w:r>
      <w:proofErr w:type="spellEnd"/>
      <w:r w:rsidR="00C24ABB" w:rsidRPr="00B7616E">
        <w:rPr>
          <w:rFonts w:ascii="Calibri" w:hAnsi="Calibri" w:cs="Calibri"/>
          <w:sz w:val="21"/>
          <w:szCs w:val="21"/>
          <w:lang w:val="sk-SK"/>
        </w:rPr>
        <w:t xml:space="preserve"> Súdny dvor povedal, že európske právo „</w:t>
      </w:r>
      <w:r w:rsidR="00C24ABB" w:rsidRPr="00B7616E">
        <w:rPr>
          <w:rFonts w:ascii="Calibri" w:hAnsi="Calibri" w:cs="Calibri"/>
          <w:i/>
          <w:sz w:val="21"/>
          <w:szCs w:val="21"/>
          <w:lang w:val="sk-SK"/>
        </w:rPr>
        <w:t>nemôže byť podrobené vnútroštátnym právnym pravidlám v akejkoľvek podobe</w:t>
      </w:r>
      <w:r w:rsidR="00584736" w:rsidRPr="00B7616E">
        <w:rPr>
          <w:rFonts w:ascii="Calibri" w:hAnsi="Calibri" w:cs="Calibri"/>
          <w:i/>
          <w:sz w:val="21"/>
          <w:szCs w:val="21"/>
          <w:lang w:val="sk-SK"/>
        </w:rPr>
        <w:t>,</w:t>
      </w:r>
      <w:r w:rsidR="00C24ABB" w:rsidRPr="00B7616E">
        <w:rPr>
          <w:rFonts w:ascii="Calibri" w:hAnsi="Calibri" w:cs="Calibri"/>
          <w:sz w:val="21"/>
          <w:szCs w:val="21"/>
          <w:lang w:val="sk-SK"/>
        </w:rPr>
        <w:t xml:space="preserve">“ pričom v nasledujúcej rozhodovacej činnosti explicitne uviedol, že právo EÚ je nadradené dokonca aj samotnej ústave členského štátu. Nadradenosť </w:t>
      </w:r>
      <w:r w:rsidR="00584736" w:rsidRPr="00B7616E">
        <w:rPr>
          <w:rFonts w:ascii="Calibri" w:hAnsi="Calibri" w:cs="Calibri"/>
          <w:sz w:val="21"/>
          <w:szCs w:val="21"/>
          <w:lang w:val="sk-SK"/>
        </w:rPr>
        <w:t>má dva rozmery</w:t>
      </w:r>
      <w:r w:rsidR="00C24ABB" w:rsidRPr="00B7616E">
        <w:rPr>
          <w:rFonts w:ascii="Calibri" w:hAnsi="Calibri" w:cs="Calibri"/>
          <w:sz w:val="21"/>
          <w:szCs w:val="21"/>
          <w:lang w:val="sk-SK"/>
        </w:rPr>
        <w:t>:</w:t>
      </w:r>
      <w:r w:rsidR="00584736" w:rsidRPr="00B7616E">
        <w:rPr>
          <w:rFonts w:ascii="Calibri" w:hAnsi="Calibri" w:cs="Calibri"/>
          <w:sz w:val="21"/>
          <w:szCs w:val="21"/>
          <w:lang w:val="sk-SK"/>
        </w:rPr>
        <w:t xml:space="preserve"> </w:t>
      </w:r>
      <w:r w:rsidR="00584736" w:rsidRPr="00B7616E">
        <w:rPr>
          <w:rFonts w:ascii="Calibri" w:hAnsi="Calibri" w:cs="Calibri"/>
          <w:b/>
          <w:sz w:val="21"/>
          <w:szCs w:val="21"/>
          <w:lang w:val="sk-SK"/>
        </w:rPr>
        <w:t>i)</w:t>
      </w:r>
      <w:r w:rsidR="00584736" w:rsidRPr="00B7616E">
        <w:rPr>
          <w:rFonts w:ascii="Calibri" w:hAnsi="Calibri" w:cs="Calibri"/>
          <w:sz w:val="21"/>
          <w:szCs w:val="21"/>
          <w:lang w:val="sk-SK"/>
        </w:rPr>
        <w:t xml:space="preserve"> nadradenosť v užšom slova zmysle, v zmysle ktorej vnútroštátne orgány tvorby práva nesmú prijať žiadny právny predpis, ktorý by bol v rozpore s právom EÚ; </w:t>
      </w:r>
      <w:proofErr w:type="spellStart"/>
      <w:r w:rsidR="00584736" w:rsidRPr="00B7616E">
        <w:rPr>
          <w:rFonts w:ascii="Calibri" w:hAnsi="Calibri" w:cs="Calibri"/>
          <w:b/>
          <w:sz w:val="21"/>
          <w:szCs w:val="21"/>
          <w:lang w:val="sk-SK"/>
        </w:rPr>
        <w:t>ii</w:t>
      </w:r>
      <w:proofErr w:type="spellEnd"/>
      <w:r w:rsidR="00584736" w:rsidRPr="00B7616E">
        <w:rPr>
          <w:rFonts w:ascii="Calibri" w:hAnsi="Calibri" w:cs="Calibri"/>
          <w:b/>
          <w:sz w:val="21"/>
          <w:szCs w:val="21"/>
          <w:lang w:val="sk-SK"/>
        </w:rPr>
        <w:t>)</w:t>
      </w:r>
      <w:r w:rsidR="00584736" w:rsidRPr="00B7616E">
        <w:rPr>
          <w:rFonts w:ascii="Calibri" w:hAnsi="Calibri" w:cs="Calibri"/>
          <w:sz w:val="21"/>
          <w:szCs w:val="21"/>
          <w:lang w:val="sk-SK"/>
        </w:rPr>
        <w:t xml:space="preserve"> zásada prednosti, v zmysle ktorej v</w:t>
      </w:r>
      <w:r w:rsidR="009C0664" w:rsidRPr="00B7616E">
        <w:rPr>
          <w:rFonts w:ascii="Calibri" w:hAnsi="Calibri" w:cs="Calibri"/>
          <w:sz w:val="21"/>
          <w:szCs w:val="21"/>
          <w:lang w:val="sk-SK"/>
        </w:rPr>
        <w:t>n</w:t>
      </w:r>
      <w:r w:rsidR="00584736" w:rsidRPr="00B7616E">
        <w:rPr>
          <w:rFonts w:ascii="Calibri" w:hAnsi="Calibri" w:cs="Calibri"/>
          <w:sz w:val="21"/>
          <w:szCs w:val="21"/>
          <w:lang w:val="sk-SK"/>
        </w:rPr>
        <w:t xml:space="preserve">útroštátne orgány aplikácie práva musia aplikovať právo EÚ aj keď majú pochybnosť o tom, či je v súlade s vnútroštátnymi predpismi. </w:t>
      </w:r>
      <w:r w:rsidR="009C0664" w:rsidRPr="00B7616E">
        <w:rPr>
          <w:rFonts w:ascii="Calibri" w:hAnsi="Calibri" w:cs="Calibri"/>
          <w:sz w:val="21"/>
          <w:szCs w:val="21"/>
          <w:lang w:val="sk-SK"/>
        </w:rPr>
        <w:t>Vnútroštátne súdy t</w:t>
      </w:r>
      <w:r w:rsidR="006666EF">
        <w:rPr>
          <w:rFonts w:ascii="Calibri" w:hAnsi="Calibri" w:cs="Calibri"/>
          <w:sz w:val="21"/>
          <w:szCs w:val="21"/>
          <w:lang w:val="sk-SK"/>
        </w:rPr>
        <w:t>eda nemôžu</w:t>
      </w:r>
      <w:r w:rsidR="009C0664" w:rsidRPr="00B7616E">
        <w:rPr>
          <w:rFonts w:ascii="Calibri" w:hAnsi="Calibri" w:cs="Calibri"/>
          <w:sz w:val="21"/>
          <w:szCs w:val="21"/>
          <w:lang w:val="sk-SK"/>
        </w:rPr>
        <w:t xml:space="preserve"> preskúmavať napr. to, či je európska smernica v súlade s ľudskými právami stanovenými v ústavách členských štátov. </w:t>
      </w:r>
    </w:p>
    <w:p w:rsidR="009C0664" w:rsidRPr="00B7616E" w:rsidRDefault="009C0664" w:rsidP="00C24ABB">
      <w:pPr>
        <w:spacing w:after="120"/>
        <w:jc w:val="both"/>
        <w:rPr>
          <w:rFonts w:ascii="Calibri" w:hAnsi="Calibri" w:cs="Calibri"/>
          <w:sz w:val="21"/>
          <w:szCs w:val="21"/>
          <w:lang w:val="sk-SK"/>
        </w:rPr>
      </w:pPr>
    </w:p>
    <w:p w:rsidR="009C0664" w:rsidRPr="00B7616E" w:rsidRDefault="009C0664" w:rsidP="00C24ABB">
      <w:pPr>
        <w:spacing w:after="120"/>
        <w:jc w:val="both"/>
        <w:rPr>
          <w:rFonts w:ascii="Calibri" w:hAnsi="Calibri" w:cs="Calibri"/>
          <w:b/>
          <w:sz w:val="21"/>
          <w:szCs w:val="21"/>
          <w:lang w:val="sk-SK"/>
        </w:rPr>
      </w:pPr>
      <w:r w:rsidRPr="00B7616E">
        <w:rPr>
          <w:rFonts w:ascii="Calibri" w:hAnsi="Calibri" w:cs="Calibri"/>
          <w:b/>
          <w:sz w:val="21"/>
          <w:szCs w:val="21"/>
          <w:lang w:val="sk-SK"/>
        </w:rPr>
        <w:t>3. Právne kultúry</w:t>
      </w:r>
      <w:r w:rsidR="00866151" w:rsidRPr="00B7616E">
        <w:rPr>
          <w:rFonts w:ascii="Calibri" w:hAnsi="Calibri" w:cs="Calibri"/>
          <w:b/>
          <w:sz w:val="21"/>
          <w:szCs w:val="21"/>
          <w:lang w:val="sk-SK"/>
        </w:rPr>
        <w:t xml:space="preserve"> (rozdiel medzi anglo-americkou a kontinentálnou právnou kultúrou)</w:t>
      </w:r>
    </w:p>
    <w:p w:rsidR="00866151" w:rsidRPr="00B7616E" w:rsidRDefault="009C0664" w:rsidP="00C24ABB">
      <w:pPr>
        <w:spacing w:after="120"/>
        <w:jc w:val="both"/>
        <w:rPr>
          <w:rFonts w:cstheme="minorHAnsi"/>
          <w:sz w:val="21"/>
          <w:szCs w:val="21"/>
          <w:lang w:val="sk-SK"/>
        </w:rPr>
      </w:pPr>
      <w:r w:rsidRPr="00B7616E">
        <w:rPr>
          <w:rFonts w:ascii="Calibri" w:hAnsi="Calibri" w:cs="Calibri"/>
          <w:sz w:val="21"/>
          <w:szCs w:val="21"/>
          <w:lang w:val="sk-SK"/>
        </w:rPr>
        <w:t xml:space="preserve">Už na minulej prednáške sme si povedali, že právna kultúra je </w:t>
      </w:r>
      <w:r w:rsidRPr="00B7616E">
        <w:rPr>
          <w:rFonts w:cstheme="minorHAnsi"/>
          <w:sz w:val="21"/>
          <w:szCs w:val="21"/>
          <w:lang w:val="sk-SK"/>
        </w:rPr>
        <w:t xml:space="preserve">historicky podmienené hodnotové a inštitucionálne zázemie, v ktorom sa tvorí a uplatňuje právo. </w:t>
      </w:r>
      <w:r w:rsidR="00866151" w:rsidRPr="00B7616E">
        <w:rPr>
          <w:rFonts w:cstheme="minorHAnsi"/>
          <w:sz w:val="21"/>
          <w:szCs w:val="21"/>
          <w:lang w:val="sk-SK"/>
        </w:rPr>
        <w:t xml:space="preserve">Načrtli sme si aj základný rozdiel medzi kultúrou </w:t>
      </w:r>
      <w:proofErr w:type="spellStart"/>
      <w:r w:rsidR="00866151" w:rsidRPr="00B7616E">
        <w:rPr>
          <w:rFonts w:cstheme="minorHAnsi"/>
          <w:sz w:val="21"/>
          <w:szCs w:val="21"/>
          <w:lang w:val="sk-SK"/>
        </w:rPr>
        <w:t>common</w:t>
      </w:r>
      <w:proofErr w:type="spellEnd"/>
      <w:r w:rsidR="00866151" w:rsidRPr="00B7616E">
        <w:rPr>
          <w:rFonts w:cstheme="minorHAnsi"/>
          <w:sz w:val="21"/>
          <w:szCs w:val="21"/>
          <w:lang w:val="sk-SK"/>
        </w:rPr>
        <w:t xml:space="preserve"> </w:t>
      </w:r>
      <w:proofErr w:type="spellStart"/>
      <w:r w:rsidR="00866151" w:rsidRPr="00B7616E">
        <w:rPr>
          <w:rFonts w:cstheme="minorHAnsi"/>
          <w:sz w:val="21"/>
          <w:szCs w:val="21"/>
          <w:lang w:val="sk-SK"/>
        </w:rPr>
        <w:t>law</w:t>
      </w:r>
      <w:proofErr w:type="spellEnd"/>
      <w:r w:rsidR="00866151" w:rsidRPr="00B7616E">
        <w:rPr>
          <w:rFonts w:cstheme="minorHAnsi"/>
          <w:sz w:val="21"/>
          <w:szCs w:val="21"/>
          <w:lang w:val="sk-SK"/>
        </w:rPr>
        <w:t xml:space="preserve"> a európskou právnou kultúrou. </w:t>
      </w:r>
    </w:p>
    <w:p w:rsidR="00584736" w:rsidRPr="00B7616E" w:rsidRDefault="00866151" w:rsidP="00C24ABB">
      <w:pPr>
        <w:spacing w:after="120"/>
        <w:jc w:val="both"/>
        <w:rPr>
          <w:rFonts w:ascii="Calibri" w:hAnsi="Calibri" w:cs="Calibri"/>
          <w:sz w:val="21"/>
          <w:szCs w:val="21"/>
          <w:lang w:val="sk-SK"/>
        </w:rPr>
      </w:pPr>
      <w:r w:rsidRPr="00B7616E">
        <w:rPr>
          <w:rFonts w:ascii="Calibri" w:hAnsi="Calibri" w:cs="Calibri"/>
          <w:sz w:val="21"/>
          <w:szCs w:val="21"/>
          <w:lang w:val="sk-SK"/>
        </w:rPr>
        <w:t xml:space="preserve">V prvom rade treba uviesť, že obidve tieto kultúry možno chápať ako dve vetvy jedného stromu – ako vetvy </w:t>
      </w:r>
      <w:r w:rsidRPr="00B7616E">
        <w:rPr>
          <w:rFonts w:ascii="Calibri" w:hAnsi="Calibri" w:cs="Calibri"/>
          <w:b/>
          <w:i/>
          <w:sz w:val="21"/>
          <w:szCs w:val="21"/>
          <w:lang w:val="sk-SK"/>
        </w:rPr>
        <w:t>západnej právnej kultúry</w:t>
      </w:r>
      <w:r w:rsidRPr="00B7616E">
        <w:rPr>
          <w:rFonts w:ascii="Calibri" w:hAnsi="Calibri" w:cs="Calibri"/>
          <w:sz w:val="21"/>
          <w:szCs w:val="21"/>
          <w:lang w:val="sk-SK"/>
        </w:rPr>
        <w:t xml:space="preserve">. Podľa Reného </w:t>
      </w:r>
      <w:proofErr w:type="spellStart"/>
      <w:r w:rsidRPr="00B7616E">
        <w:rPr>
          <w:rFonts w:ascii="Calibri" w:hAnsi="Calibri" w:cs="Calibri"/>
          <w:sz w:val="21"/>
          <w:szCs w:val="21"/>
          <w:lang w:val="sk-SK"/>
        </w:rPr>
        <w:t>Davida</w:t>
      </w:r>
      <w:proofErr w:type="spellEnd"/>
      <w:r w:rsidRPr="00B7616E">
        <w:rPr>
          <w:rFonts w:ascii="Calibri" w:hAnsi="Calibri" w:cs="Calibri"/>
          <w:sz w:val="21"/>
          <w:szCs w:val="21"/>
          <w:lang w:val="sk-SK"/>
        </w:rPr>
        <w:t xml:space="preserve"> sú pre západnú právnu kultúru charakteristické tri veci: demokracia, kapitalistická ekonomika a kresťanstvo. Axiologické zázemie západnej právnej kultúry obsahuje napríklad úctu k ľudským právam, náboženskú toleranciu či sekularizovaný právny štát. Rozdiel medzi týmito kultúrami leží skôr v spôsoboch, akými sa prevá</w:t>
      </w:r>
      <w:r w:rsidR="006666EF">
        <w:rPr>
          <w:rFonts w:ascii="Calibri" w:hAnsi="Calibri" w:cs="Calibri"/>
          <w:sz w:val="21"/>
          <w:szCs w:val="21"/>
          <w:lang w:val="sk-SK"/>
        </w:rPr>
        <w:t>dzkujú spoločenské inštitúcie a</w:t>
      </w:r>
      <w:bookmarkStart w:id="0" w:name="_GoBack"/>
      <w:bookmarkEnd w:id="0"/>
      <w:r w:rsidRPr="00B7616E">
        <w:rPr>
          <w:rFonts w:ascii="Calibri" w:hAnsi="Calibri" w:cs="Calibri"/>
          <w:sz w:val="21"/>
          <w:szCs w:val="21"/>
          <w:lang w:val="sk-SK"/>
        </w:rPr>
        <w:t xml:space="preserve"> v technikách, </w:t>
      </w:r>
      <w:r w:rsidR="00B7616E">
        <w:rPr>
          <w:rFonts w:ascii="Calibri" w:hAnsi="Calibri" w:cs="Calibri"/>
          <w:sz w:val="21"/>
          <w:szCs w:val="21"/>
          <w:lang w:val="sk-SK"/>
        </w:rPr>
        <w:t>pomocou</w:t>
      </w:r>
      <w:r w:rsidRPr="00B7616E">
        <w:rPr>
          <w:rFonts w:ascii="Calibri" w:hAnsi="Calibri" w:cs="Calibri"/>
          <w:sz w:val="21"/>
          <w:szCs w:val="21"/>
          <w:lang w:val="sk-SK"/>
        </w:rPr>
        <w:t xml:space="preserve"> ktorých</w:t>
      </w:r>
      <w:r w:rsidR="00B7616E">
        <w:rPr>
          <w:rFonts w:ascii="Calibri" w:hAnsi="Calibri" w:cs="Calibri"/>
          <w:sz w:val="21"/>
          <w:szCs w:val="21"/>
          <w:lang w:val="sk-SK"/>
        </w:rPr>
        <w:t xml:space="preserve"> sa</w:t>
      </w:r>
      <w:r w:rsidRPr="00B7616E">
        <w:rPr>
          <w:rFonts w:ascii="Calibri" w:hAnsi="Calibri" w:cs="Calibri"/>
          <w:sz w:val="21"/>
          <w:szCs w:val="21"/>
          <w:lang w:val="sk-SK"/>
        </w:rPr>
        <w:t xml:space="preserve"> tvorí a aplikuje právo.</w:t>
      </w:r>
    </w:p>
    <w:p w:rsidR="004A2DB4" w:rsidRPr="00B7616E" w:rsidRDefault="00B7616E" w:rsidP="00C24ABB">
      <w:pPr>
        <w:spacing w:after="120"/>
        <w:jc w:val="both"/>
        <w:rPr>
          <w:rFonts w:ascii="Calibri" w:hAnsi="Calibri" w:cs="Calibri"/>
          <w:sz w:val="21"/>
          <w:szCs w:val="21"/>
          <w:lang w:val="sk-SK"/>
        </w:rPr>
      </w:pPr>
      <w:r w:rsidRPr="0084070D">
        <w:rPr>
          <w:rFonts w:ascii="Calibri" w:hAnsi="Calibri" w:cs="Calibri"/>
          <w:b/>
          <w:sz w:val="21"/>
          <w:szCs w:val="21"/>
          <w:lang w:val="sk-SK"/>
        </w:rPr>
        <w:t>Všeobecné rozdiely</w:t>
      </w:r>
      <w:r w:rsidR="004A2DB4" w:rsidRPr="0084070D">
        <w:rPr>
          <w:rFonts w:ascii="Calibri" w:hAnsi="Calibri" w:cs="Calibri"/>
          <w:sz w:val="21"/>
          <w:szCs w:val="21"/>
          <w:lang w:val="sk-SK"/>
        </w:rPr>
        <w:t>:</w:t>
      </w:r>
      <w:r w:rsidR="004A2DB4" w:rsidRPr="00B7616E">
        <w:rPr>
          <w:rFonts w:ascii="Calibri" w:hAnsi="Calibri" w:cs="Calibri"/>
          <w:sz w:val="21"/>
          <w:szCs w:val="21"/>
          <w:lang w:val="sk-SK"/>
        </w:rPr>
        <w:t xml:space="preserve"> </w:t>
      </w:r>
      <w:r w:rsidR="004A2DB4" w:rsidRPr="00B7616E">
        <w:rPr>
          <w:rFonts w:ascii="Calibri" w:hAnsi="Calibri" w:cs="Calibri"/>
          <w:b/>
          <w:sz w:val="21"/>
          <w:szCs w:val="21"/>
          <w:lang w:val="sk-SK"/>
        </w:rPr>
        <w:t>i)</w:t>
      </w:r>
      <w:r w:rsidR="004A2DB4" w:rsidRPr="00B7616E">
        <w:rPr>
          <w:rFonts w:ascii="Calibri" w:hAnsi="Calibri" w:cs="Calibri"/>
          <w:sz w:val="21"/>
          <w:szCs w:val="21"/>
          <w:lang w:val="sk-SK"/>
        </w:rPr>
        <w:t xml:space="preserve"> dominantný prameň práva: </w:t>
      </w:r>
      <w:proofErr w:type="spellStart"/>
      <w:r w:rsidR="004A2DB4" w:rsidRPr="00B7616E">
        <w:rPr>
          <w:rFonts w:ascii="Calibri" w:hAnsi="Calibri" w:cs="Calibri"/>
          <w:sz w:val="21"/>
          <w:szCs w:val="21"/>
          <w:lang w:val="sk-SK"/>
        </w:rPr>
        <w:t>c</w:t>
      </w:r>
      <w:r w:rsidR="00176FC9">
        <w:rPr>
          <w:rFonts w:ascii="Calibri" w:hAnsi="Calibri" w:cs="Calibri"/>
          <w:sz w:val="21"/>
          <w:szCs w:val="21"/>
          <w:lang w:val="sk-SK"/>
        </w:rPr>
        <w:t>ommon</w:t>
      </w:r>
      <w:proofErr w:type="spellEnd"/>
      <w:r w:rsidR="00176FC9">
        <w:rPr>
          <w:rFonts w:ascii="Calibri" w:hAnsi="Calibri" w:cs="Calibri"/>
          <w:sz w:val="21"/>
          <w:szCs w:val="21"/>
          <w:lang w:val="sk-SK"/>
        </w:rPr>
        <w:t xml:space="preserve"> </w:t>
      </w:r>
      <w:proofErr w:type="spellStart"/>
      <w:r w:rsidR="00866151" w:rsidRPr="00B7616E">
        <w:rPr>
          <w:rFonts w:ascii="Calibri" w:hAnsi="Calibri" w:cs="Calibri"/>
          <w:sz w:val="21"/>
          <w:szCs w:val="21"/>
          <w:lang w:val="sk-SK"/>
        </w:rPr>
        <w:t>law</w:t>
      </w:r>
      <w:proofErr w:type="spellEnd"/>
      <w:r w:rsidR="00866151" w:rsidRPr="00B7616E">
        <w:rPr>
          <w:rFonts w:ascii="Calibri" w:hAnsi="Calibri" w:cs="Calibri"/>
          <w:sz w:val="21"/>
          <w:szCs w:val="21"/>
          <w:lang w:val="sk-SK"/>
        </w:rPr>
        <w:t xml:space="preserve"> je kultúrou nepísaného práva, kontinentálny</w:t>
      </w:r>
      <w:r w:rsidR="004A2DB4" w:rsidRPr="00B7616E">
        <w:rPr>
          <w:rFonts w:ascii="Calibri" w:hAnsi="Calibri" w:cs="Calibri"/>
          <w:sz w:val="21"/>
          <w:szCs w:val="21"/>
          <w:lang w:val="sk-SK"/>
        </w:rPr>
        <w:t xml:space="preserve"> systém kultúrou písaného práva; </w:t>
      </w:r>
      <w:proofErr w:type="spellStart"/>
      <w:r w:rsidR="004A2DB4" w:rsidRPr="00B7616E">
        <w:rPr>
          <w:rFonts w:ascii="Calibri" w:hAnsi="Calibri" w:cs="Calibri"/>
          <w:b/>
          <w:sz w:val="21"/>
          <w:szCs w:val="21"/>
          <w:lang w:val="sk-SK"/>
        </w:rPr>
        <w:t>ii</w:t>
      </w:r>
      <w:proofErr w:type="spellEnd"/>
      <w:r w:rsidR="004A2DB4" w:rsidRPr="00B7616E">
        <w:rPr>
          <w:rFonts w:ascii="Calibri" w:hAnsi="Calibri" w:cs="Calibri"/>
          <w:sz w:val="21"/>
          <w:szCs w:val="21"/>
          <w:lang w:val="sk-SK"/>
        </w:rPr>
        <w:t xml:space="preserve">) postoj k zmene: anglické </w:t>
      </w:r>
      <w:proofErr w:type="spellStart"/>
      <w:r w:rsidR="004A2DB4" w:rsidRPr="00B7616E">
        <w:rPr>
          <w:rFonts w:ascii="Calibri" w:hAnsi="Calibri" w:cs="Calibri"/>
          <w:sz w:val="21"/>
          <w:szCs w:val="21"/>
          <w:lang w:val="sk-SK"/>
        </w:rPr>
        <w:t>common</w:t>
      </w:r>
      <w:proofErr w:type="spellEnd"/>
      <w:r w:rsidR="004A2DB4" w:rsidRPr="00B7616E">
        <w:rPr>
          <w:rFonts w:ascii="Calibri" w:hAnsi="Calibri" w:cs="Calibri"/>
          <w:sz w:val="21"/>
          <w:szCs w:val="21"/>
          <w:lang w:val="sk-SK"/>
        </w:rPr>
        <w:t xml:space="preserve"> </w:t>
      </w:r>
      <w:proofErr w:type="spellStart"/>
      <w:r w:rsidR="004A2DB4" w:rsidRPr="00B7616E">
        <w:rPr>
          <w:rFonts w:ascii="Calibri" w:hAnsi="Calibri" w:cs="Calibri"/>
          <w:sz w:val="21"/>
          <w:szCs w:val="21"/>
          <w:lang w:val="sk-SK"/>
        </w:rPr>
        <w:t>law</w:t>
      </w:r>
      <w:proofErr w:type="spellEnd"/>
      <w:r w:rsidR="004A2DB4" w:rsidRPr="00B7616E">
        <w:rPr>
          <w:rFonts w:ascii="Calibri" w:hAnsi="Calibri" w:cs="Calibri"/>
          <w:sz w:val="21"/>
          <w:szCs w:val="21"/>
          <w:lang w:val="sk-SK"/>
        </w:rPr>
        <w:t xml:space="preserve"> je konzervatívne, zatiaľ čo európske predpisy sú skôr progresívne; </w:t>
      </w:r>
      <w:proofErr w:type="spellStart"/>
      <w:r w:rsidR="004A2DB4" w:rsidRPr="00B7616E">
        <w:rPr>
          <w:rFonts w:ascii="Calibri" w:hAnsi="Calibri" w:cs="Calibri"/>
          <w:b/>
          <w:sz w:val="21"/>
          <w:szCs w:val="21"/>
          <w:lang w:val="sk-SK"/>
        </w:rPr>
        <w:t>iii</w:t>
      </w:r>
      <w:proofErr w:type="spellEnd"/>
      <w:r w:rsidR="004A2DB4" w:rsidRPr="00B7616E">
        <w:rPr>
          <w:rFonts w:ascii="Calibri" w:hAnsi="Calibri" w:cs="Calibri"/>
          <w:sz w:val="21"/>
          <w:szCs w:val="21"/>
          <w:lang w:val="sk-SK"/>
        </w:rPr>
        <w:t xml:space="preserve">) spôsob poznávania sveta: Angličania preferujú empirické poznanie založené na indukcii, Európania </w:t>
      </w:r>
      <w:proofErr w:type="spellStart"/>
      <w:r w:rsidR="004A2DB4" w:rsidRPr="00B7616E">
        <w:rPr>
          <w:rFonts w:ascii="Calibri" w:hAnsi="Calibri" w:cs="Calibri"/>
          <w:sz w:val="21"/>
          <w:szCs w:val="21"/>
          <w:lang w:val="sk-SK"/>
        </w:rPr>
        <w:t>upredňostňujú</w:t>
      </w:r>
      <w:proofErr w:type="spellEnd"/>
      <w:r w:rsidR="004A2DB4" w:rsidRPr="00B7616E">
        <w:rPr>
          <w:rFonts w:ascii="Calibri" w:hAnsi="Calibri" w:cs="Calibri"/>
          <w:sz w:val="21"/>
          <w:szCs w:val="21"/>
          <w:lang w:val="sk-SK"/>
        </w:rPr>
        <w:t xml:space="preserve"> abstraktné poznanie založené na dedukcii; </w:t>
      </w:r>
      <w:proofErr w:type="spellStart"/>
      <w:r w:rsidR="004A2DB4" w:rsidRPr="00B7616E">
        <w:rPr>
          <w:rFonts w:ascii="Calibri" w:hAnsi="Calibri" w:cs="Calibri"/>
          <w:b/>
          <w:sz w:val="21"/>
          <w:szCs w:val="21"/>
          <w:lang w:val="sk-SK"/>
        </w:rPr>
        <w:t>iv</w:t>
      </w:r>
      <w:proofErr w:type="spellEnd"/>
      <w:r w:rsidR="004A2DB4" w:rsidRPr="00B7616E">
        <w:rPr>
          <w:rFonts w:ascii="Calibri" w:hAnsi="Calibri" w:cs="Calibri"/>
          <w:sz w:val="21"/>
          <w:szCs w:val="21"/>
          <w:lang w:val="sk-SK"/>
        </w:rPr>
        <w:t xml:space="preserve">) spôsob zmeny práva: v </w:t>
      </w:r>
      <w:proofErr w:type="spellStart"/>
      <w:r w:rsidR="004A2DB4" w:rsidRPr="00B7616E">
        <w:rPr>
          <w:rFonts w:ascii="Calibri" w:hAnsi="Calibri" w:cs="Calibri"/>
          <w:sz w:val="21"/>
          <w:szCs w:val="21"/>
          <w:lang w:val="sk-SK"/>
        </w:rPr>
        <w:t>common</w:t>
      </w:r>
      <w:proofErr w:type="spellEnd"/>
      <w:r w:rsidR="004A2DB4" w:rsidRPr="00B7616E">
        <w:rPr>
          <w:rFonts w:ascii="Calibri" w:hAnsi="Calibri" w:cs="Calibri"/>
          <w:sz w:val="21"/>
          <w:szCs w:val="21"/>
          <w:lang w:val="sk-SK"/>
        </w:rPr>
        <w:t xml:space="preserve"> </w:t>
      </w:r>
      <w:proofErr w:type="spellStart"/>
      <w:r w:rsidR="004A2DB4" w:rsidRPr="00B7616E">
        <w:rPr>
          <w:rFonts w:ascii="Calibri" w:hAnsi="Calibri" w:cs="Calibri"/>
          <w:sz w:val="21"/>
          <w:szCs w:val="21"/>
          <w:lang w:val="sk-SK"/>
        </w:rPr>
        <w:t>law</w:t>
      </w:r>
      <w:proofErr w:type="spellEnd"/>
      <w:r w:rsidR="004A2DB4" w:rsidRPr="00B7616E">
        <w:rPr>
          <w:rFonts w:ascii="Calibri" w:hAnsi="Calibri" w:cs="Calibri"/>
          <w:sz w:val="21"/>
          <w:szCs w:val="21"/>
          <w:lang w:val="sk-SK"/>
        </w:rPr>
        <w:t xml:space="preserve"> je prípustná skôr len postupná zmena od prípadu k prípadu, zatiaľ čo </w:t>
      </w:r>
      <w:r w:rsidR="00176FC9">
        <w:rPr>
          <w:rFonts w:ascii="Calibri" w:hAnsi="Calibri" w:cs="Calibri"/>
          <w:sz w:val="21"/>
          <w:szCs w:val="21"/>
          <w:lang w:val="sk-SK"/>
        </w:rPr>
        <w:t>k</w:t>
      </w:r>
      <w:r w:rsidRPr="00B7616E">
        <w:rPr>
          <w:rFonts w:ascii="Calibri" w:hAnsi="Calibri" w:cs="Calibri"/>
          <w:sz w:val="21"/>
          <w:szCs w:val="21"/>
          <w:lang w:val="sk-SK"/>
        </w:rPr>
        <w:t xml:space="preserve">ontinent je otvorený </w:t>
      </w:r>
      <w:r w:rsidR="004A2DB4" w:rsidRPr="00B7616E">
        <w:rPr>
          <w:rFonts w:ascii="Calibri" w:hAnsi="Calibri" w:cs="Calibri"/>
          <w:sz w:val="21"/>
          <w:szCs w:val="21"/>
          <w:lang w:val="sk-SK"/>
        </w:rPr>
        <w:t>komplexným reformám prostredníctvom k</w:t>
      </w:r>
      <w:r w:rsidR="00176FC9">
        <w:rPr>
          <w:rFonts w:ascii="Calibri" w:hAnsi="Calibri" w:cs="Calibri"/>
          <w:sz w:val="21"/>
          <w:szCs w:val="21"/>
          <w:lang w:val="sk-SK"/>
        </w:rPr>
        <w:t xml:space="preserve">ódexov; </w:t>
      </w:r>
      <w:r w:rsidR="00176FC9" w:rsidRPr="00176FC9">
        <w:rPr>
          <w:rFonts w:ascii="Calibri" w:hAnsi="Calibri" w:cs="Calibri"/>
          <w:b/>
          <w:sz w:val="21"/>
          <w:szCs w:val="21"/>
          <w:lang w:val="sk-SK"/>
        </w:rPr>
        <w:t>v)</w:t>
      </w:r>
      <w:r w:rsidR="00176FC9">
        <w:rPr>
          <w:rFonts w:ascii="Calibri" w:hAnsi="Calibri" w:cs="Calibri"/>
          <w:sz w:val="21"/>
          <w:szCs w:val="21"/>
          <w:lang w:val="sk-SK"/>
        </w:rPr>
        <w:t xml:space="preserve"> záväznosť súdnych rozhodnutí: precedentná záväznosť </w:t>
      </w:r>
      <w:proofErr w:type="spellStart"/>
      <w:r w:rsidR="00176FC9">
        <w:rPr>
          <w:rFonts w:ascii="Calibri" w:hAnsi="Calibri" w:cs="Calibri"/>
          <w:sz w:val="21"/>
          <w:szCs w:val="21"/>
          <w:lang w:val="sk-SK"/>
        </w:rPr>
        <w:t>vs</w:t>
      </w:r>
      <w:proofErr w:type="spellEnd"/>
      <w:r w:rsidR="00176FC9">
        <w:rPr>
          <w:rFonts w:ascii="Calibri" w:hAnsi="Calibri" w:cs="Calibri"/>
          <w:sz w:val="21"/>
          <w:szCs w:val="21"/>
          <w:lang w:val="sk-SK"/>
        </w:rPr>
        <w:t xml:space="preserve">. </w:t>
      </w:r>
      <w:proofErr w:type="spellStart"/>
      <w:r w:rsidR="00176FC9" w:rsidRPr="00176FC9">
        <w:rPr>
          <w:rFonts w:ascii="Calibri" w:hAnsi="Calibri" w:cs="Calibri"/>
          <w:b/>
          <w:i/>
          <w:sz w:val="21"/>
          <w:szCs w:val="21"/>
          <w:lang w:val="sk-SK"/>
        </w:rPr>
        <w:t>kasačná</w:t>
      </w:r>
      <w:proofErr w:type="spellEnd"/>
      <w:r w:rsidR="00176FC9" w:rsidRPr="00176FC9">
        <w:rPr>
          <w:rFonts w:ascii="Calibri" w:hAnsi="Calibri" w:cs="Calibri"/>
          <w:b/>
          <w:i/>
          <w:sz w:val="21"/>
          <w:szCs w:val="21"/>
          <w:lang w:val="sk-SK"/>
        </w:rPr>
        <w:t xml:space="preserve"> záväznosť</w:t>
      </w:r>
      <w:r w:rsidR="00176FC9">
        <w:rPr>
          <w:rFonts w:ascii="Calibri" w:hAnsi="Calibri" w:cs="Calibri"/>
          <w:sz w:val="21"/>
          <w:szCs w:val="21"/>
          <w:lang w:val="sk-SK"/>
        </w:rPr>
        <w:t xml:space="preserve">. </w:t>
      </w:r>
    </w:p>
    <w:p w:rsidR="00B7616E" w:rsidRPr="00B7616E" w:rsidRDefault="00B7616E" w:rsidP="00C24ABB">
      <w:pPr>
        <w:spacing w:after="120"/>
        <w:jc w:val="both"/>
        <w:rPr>
          <w:rFonts w:ascii="Calibri" w:hAnsi="Calibri" w:cs="Calibri"/>
          <w:b/>
          <w:sz w:val="21"/>
          <w:szCs w:val="21"/>
          <w:lang w:val="sk-SK"/>
        </w:rPr>
      </w:pPr>
      <w:r w:rsidRPr="00B7616E">
        <w:rPr>
          <w:rFonts w:ascii="Calibri" w:hAnsi="Calibri" w:cs="Calibri"/>
          <w:b/>
          <w:sz w:val="21"/>
          <w:szCs w:val="21"/>
          <w:lang w:val="sk-SK"/>
        </w:rPr>
        <w:t xml:space="preserve">Rozdiely v sudcovskej tvorbe práva: </w:t>
      </w:r>
    </w:p>
    <w:p w:rsidR="00176FC9" w:rsidRDefault="00B7616E" w:rsidP="00C24ABB">
      <w:pPr>
        <w:spacing w:after="120"/>
        <w:jc w:val="both"/>
        <w:rPr>
          <w:rFonts w:ascii="Calibri" w:hAnsi="Calibri" w:cs="Calibri"/>
          <w:sz w:val="21"/>
          <w:szCs w:val="21"/>
          <w:lang w:val="sk-SK"/>
        </w:rPr>
      </w:pPr>
      <w:r w:rsidRPr="00B7616E">
        <w:rPr>
          <w:rFonts w:ascii="Calibri" w:hAnsi="Calibri" w:cs="Calibri"/>
          <w:b/>
          <w:sz w:val="21"/>
          <w:szCs w:val="21"/>
          <w:lang w:val="sk-SK"/>
        </w:rPr>
        <w:t>a)</w:t>
      </w:r>
      <w:r w:rsidRPr="00B7616E">
        <w:rPr>
          <w:rFonts w:ascii="Calibri" w:hAnsi="Calibri" w:cs="Calibri"/>
          <w:sz w:val="21"/>
          <w:szCs w:val="21"/>
          <w:lang w:val="sk-SK"/>
        </w:rPr>
        <w:t xml:space="preserve"> </w:t>
      </w:r>
      <w:r w:rsidRPr="00B7616E">
        <w:rPr>
          <w:rFonts w:ascii="Calibri" w:hAnsi="Calibri" w:cs="Calibri"/>
          <w:i/>
          <w:sz w:val="21"/>
          <w:szCs w:val="21"/>
          <w:lang w:val="sk-SK"/>
        </w:rPr>
        <w:t>počet rozhodnutých prípadov</w:t>
      </w:r>
      <w:r w:rsidRPr="00B7616E">
        <w:rPr>
          <w:rFonts w:ascii="Calibri" w:hAnsi="Calibri" w:cs="Calibri"/>
          <w:sz w:val="21"/>
          <w:szCs w:val="21"/>
          <w:lang w:val="sk-SK"/>
        </w:rPr>
        <w:t xml:space="preserve">: v </w:t>
      </w:r>
      <w:proofErr w:type="spellStart"/>
      <w:r w:rsidRPr="00B7616E">
        <w:rPr>
          <w:rFonts w:ascii="Calibri" w:hAnsi="Calibri" w:cs="Calibri"/>
          <w:sz w:val="21"/>
          <w:szCs w:val="21"/>
          <w:lang w:val="sk-SK"/>
        </w:rPr>
        <w:t>common</w:t>
      </w:r>
      <w:proofErr w:type="spellEnd"/>
      <w:r w:rsidRPr="00B7616E">
        <w:rPr>
          <w:rFonts w:ascii="Calibri" w:hAnsi="Calibri" w:cs="Calibri"/>
          <w:sz w:val="21"/>
          <w:szCs w:val="21"/>
          <w:lang w:val="sk-SK"/>
        </w:rPr>
        <w:t xml:space="preserve"> </w:t>
      </w:r>
      <w:proofErr w:type="spellStart"/>
      <w:r w:rsidRPr="00B7616E">
        <w:rPr>
          <w:rFonts w:ascii="Calibri" w:hAnsi="Calibri" w:cs="Calibri"/>
          <w:sz w:val="21"/>
          <w:szCs w:val="21"/>
          <w:lang w:val="sk-SK"/>
        </w:rPr>
        <w:t>law</w:t>
      </w:r>
      <w:proofErr w:type="spellEnd"/>
      <w:r w:rsidRPr="00B7616E">
        <w:rPr>
          <w:rFonts w:ascii="Calibri" w:hAnsi="Calibri" w:cs="Calibri"/>
          <w:sz w:val="21"/>
          <w:szCs w:val="21"/>
          <w:lang w:val="sk-SK"/>
        </w:rPr>
        <w:t xml:space="preserve"> </w:t>
      </w:r>
      <w:r w:rsidR="00176FC9">
        <w:rPr>
          <w:rFonts w:ascii="Calibri" w:hAnsi="Calibri" w:cs="Calibri"/>
          <w:sz w:val="21"/>
          <w:szCs w:val="21"/>
          <w:lang w:val="sk-SK"/>
        </w:rPr>
        <w:t xml:space="preserve">si </w:t>
      </w:r>
      <w:r w:rsidRPr="00B7616E">
        <w:rPr>
          <w:rFonts w:ascii="Calibri" w:hAnsi="Calibri" w:cs="Calibri"/>
          <w:sz w:val="21"/>
          <w:szCs w:val="21"/>
          <w:lang w:val="sk-SK"/>
        </w:rPr>
        <w:t xml:space="preserve">vrcholové súdy </w:t>
      </w:r>
      <w:r w:rsidR="00176FC9">
        <w:rPr>
          <w:rFonts w:ascii="Calibri" w:hAnsi="Calibri" w:cs="Calibri"/>
          <w:sz w:val="21"/>
          <w:szCs w:val="21"/>
          <w:lang w:val="sk-SK"/>
        </w:rPr>
        <w:t>vyberajú prípady, takže ich roz</w:t>
      </w:r>
      <w:r w:rsidRPr="00B7616E">
        <w:rPr>
          <w:rFonts w:ascii="Calibri" w:hAnsi="Calibri" w:cs="Calibri"/>
          <w:sz w:val="21"/>
          <w:szCs w:val="21"/>
          <w:lang w:val="sk-SK"/>
        </w:rPr>
        <w:t xml:space="preserve">hodnú pár desiatok </w:t>
      </w:r>
      <w:r w:rsidR="00176FC9">
        <w:rPr>
          <w:rFonts w:ascii="Calibri" w:hAnsi="Calibri" w:cs="Calibri"/>
          <w:sz w:val="21"/>
          <w:szCs w:val="21"/>
          <w:lang w:val="sk-SK"/>
        </w:rPr>
        <w:t>ročne</w:t>
      </w:r>
      <w:r w:rsidRPr="00B7616E">
        <w:rPr>
          <w:rFonts w:ascii="Calibri" w:hAnsi="Calibri" w:cs="Calibri"/>
          <w:sz w:val="21"/>
          <w:szCs w:val="21"/>
          <w:lang w:val="sk-SK"/>
        </w:rPr>
        <w:t xml:space="preserve">, zatiaľ čo na kontinente vrcholové súdy </w:t>
      </w:r>
      <w:r w:rsidR="00176FC9">
        <w:rPr>
          <w:rFonts w:ascii="Calibri" w:hAnsi="Calibri" w:cs="Calibri"/>
          <w:sz w:val="21"/>
          <w:szCs w:val="21"/>
          <w:lang w:val="sk-SK"/>
        </w:rPr>
        <w:t xml:space="preserve">musia </w:t>
      </w:r>
      <w:proofErr w:type="spellStart"/>
      <w:r w:rsidR="00176FC9">
        <w:rPr>
          <w:rFonts w:ascii="Calibri" w:hAnsi="Calibri" w:cs="Calibri"/>
          <w:sz w:val="21"/>
          <w:szCs w:val="21"/>
          <w:lang w:val="sk-SK"/>
        </w:rPr>
        <w:t>prejednať</w:t>
      </w:r>
      <w:proofErr w:type="spellEnd"/>
      <w:r w:rsidR="00176FC9">
        <w:rPr>
          <w:rFonts w:ascii="Calibri" w:hAnsi="Calibri" w:cs="Calibri"/>
          <w:sz w:val="21"/>
          <w:szCs w:val="21"/>
          <w:lang w:val="sk-SK"/>
        </w:rPr>
        <w:t xml:space="preserve"> všetky prípady, takže ročne ich rozhodnú</w:t>
      </w:r>
      <w:r w:rsidRPr="00B7616E">
        <w:rPr>
          <w:rFonts w:ascii="Calibri" w:hAnsi="Calibri" w:cs="Calibri"/>
          <w:sz w:val="21"/>
          <w:szCs w:val="21"/>
          <w:lang w:val="sk-SK"/>
        </w:rPr>
        <w:t xml:space="preserve"> tisícky</w:t>
      </w:r>
      <w:r w:rsidR="00176FC9">
        <w:rPr>
          <w:rFonts w:ascii="Calibri" w:hAnsi="Calibri" w:cs="Calibri"/>
          <w:sz w:val="21"/>
          <w:szCs w:val="21"/>
          <w:lang w:val="sk-SK"/>
        </w:rPr>
        <w:t>;</w:t>
      </w:r>
    </w:p>
    <w:p w:rsidR="00B7616E" w:rsidRPr="00B7616E" w:rsidRDefault="00B7616E" w:rsidP="00C24ABB">
      <w:pPr>
        <w:spacing w:after="120"/>
        <w:jc w:val="both"/>
        <w:rPr>
          <w:rFonts w:ascii="Calibri" w:hAnsi="Calibri" w:cs="Calibri"/>
          <w:sz w:val="21"/>
          <w:szCs w:val="21"/>
          <w:lang w:val="sk-SK"/>
        </w:rPr>
      </w:pPr>
      <w:r w:rsidRPr="00176FC9">
        <w:rPr>
          <w:rFonts w:ascii="Calibri" w:hAnsi="Calibri" w:cs="Calibri"/>
          <w:b/>
          <w:sz w:val="21"/>
          <w:szCs w:val="21"/>
          <w:lang w:val="sk-SK"/>
        </w:rPr>
        <w:t>b)</w:t>
      </w:r>
      <w:r w:rsidRPr="00B7616E">
        <w:rPr>
          <w:rFonts w:ascii="Calibri" w:hAnsi="Calibri" w:cs="Calibri"/>
          <w:sz w:val="21"/>
          <w:szCs w:val="21"/>
          <w:lang w:val="sk-SK"/>
        </w:rPr>
        <w:t xml:space="preserve"> </w:t>
      </w:r>
      <w:r w:rsidRPr="00176FC9">
        <w:rPr>
          <w:rFonts w:ascii="Calibri" w:hAnsi="Calibri" w:cs="Calibri"/>
          <w:i/>
          <w:sz w:val="21"/>
          <w:szCs w:val="21"/>
          <w:lang w:val="sk-SK"/>
        </w:rPr>
        <w:t xml:space="preserve">precedens </w:t>
      </w:r>
      <w:proofErr w:type="spellStart"/>
      <w:r w:rsidRPr="00176FC9">
        <w:rPr>
          <w:rFonts w:ascii="Calibri" w:hAnsi="Calibri" w:cs="Calibri"/>
          <w:i/>
          <w:sz w:val="21"/>
          <w:szCs w:val="21"/>
          <w:lang w:val="sk-SK"/>
        </w:rPr>
        <w:t>vs</w:t>
      </w:r>
      <w:proofErr w:type="spellEnd"/>
      <w:r w:rsidRPr="00176FC9">
        <w:rPr>
          <w:rFonts w:ascii="Calibri" w:hAnsi="Calibri" w:cs="Calibri"/>
          <w:i/>
          <w:sz w:val="21"/>
          <w:szCs w:val="21"/>
          <w:lang w:val="sk-SK"/>
        </w:rPr>
        <w:t>. konšta</w:t>
      </w:r>
      <w:r w:rsidR="00176FC9">
        <w:rPr>
          <w:rFonts w:ascii="Calibri" w:hAnsi="Calibri" w:cs="Calibri"/>
          <w:i/>
          <w:sz w:val="21"/>
          <w:szCs w:val="21"/>
          <w:lang w:val="sk-SK"/>
        </w:rPr>
        <w:t>n</w:t>
      </w:r>
      <w:r w:rsidRPr="00176FC9">
        <w:rPr>
          <w:rFonts w:ascii="Calibri" w:hAnsi="Calibri" w:cs="Calibri"/>
          <w:i/>
          <w:sz w:val="21"/>
          <w:szCs w:val="21"/>
          <w:lang w:val="sk-SK"/>
        </w:rPr>
        <w:t>tná judikatúra</w:t>
      </w:r>
      <w:r w:rsidRPr="00B7616E">
        <w:rPr>
          <w:rFonts w:ascii="Calibri" w:hAnsi="Calibri" w:cs="Calibri"/>
          <w:sz w:val="21"/>
          <w:szCs w:val="21"/>
          <w:lang w:val="sk-SK"/>
        </w:rPr>
        <w:t xml:space="preserve">: v </w:t>
      </w:r>
      <w:proofErr w:type="spellStart"/>
      <w:r w:rsidRPr="00B7616E">
        <w:rPr>
          <w:rFonts w:ascii="Calibri" w:hAnsi="Calibri" w:cs="Calibri"/>
          <w:sz w:val="21"/>
          <w:szCs w:val="21"/>
          <w:lang w:val="sk-SK"/>
        </w:rPr>
        <w:t>common</w:t>
      </w:r>
      <w:proofErr w:type="spellEnd"/>
      <w:r w:rsidRPr="00B7616E">
        <w:rPr>
          <w:rFonts w:ascii="Calibri" w:hAnsi="Calibri" w:cs="Calibri"/>
          <w:sz w:val="21"/>
          <w:szCs w:val="21"/>
          <w:lang w:val="sk-SK"/>
        </w:rPr>
        <w:t xml:space="preserve"> </w:t>
      </w:r>
      <w:proofErr w:type="spellStart"/>
      <w:r w:rsidRPr="00B7616E">
        <w:rPr>
          <w:rFonts w:ascii="Calibri" w:hAnsi="Calibri" w:cs="Calibri"/>
          <w:sz w:val="21"/>
          <w:szCs w:val="21"/>
          <w:lang w:val="sk-SK"/>
        </w:rPr>
        <w:t>law</w:t>
      </w:r>
      <w:proofErr w:type="spellEnd"/>
      <w:r w:rsidRPr="00B7616E">
        <w:rPr>
          <w:rFonts w:ascii="Calibri" w:hAnsi="Calibri" w:cs="Calibri"/>
          <w:sz w:val="21"/>
          <w:szCs w:val="21"/>
          <w:lang w:val="sk-SK"/>
        </w:rPr>
        <w:t xml:space="preserve"> zaväzuje už prvý prípad v rade, samotné prelomové rozhodnutie </w:t>
      </w:r>
      <w:r w:rsidR="00176FC9">
        <w:rPr>
          <w:rFonts w:ascii="Calibri" w:hAnsi="Calibri" w:cs="Calibri"/>
          <w:sz w:val="21"/>
          <w:szCs w:val="21"/>
          <w:lang w:val="sk-SK"/>
        </w:rPr>
        <w:t xml:space="preserve">vrcholového </w:t>
      </w:r>
      <w:r w:rsidRPr="00B7616E">
        <w:rPr>
          <w:rFonts w:ascii="Calibri" w:hAnsi="Calibri" w:cs="Calibri"/>
          <w:sz w:val="21"/>
          <w:szCs w:val="21"/>
          <w:lang w:val="sk-SK"/>
        </w:rPr>
        <w:t>súdu</w:t>
      </w:r>
      <w:r w:rsidR="00176FC9">
        <w:rPr>
          <w:rFonts w:ascii="Calibri" w:hAnsi="Calibri" w:cs="Calibri"/>
          <w:sz w:val="21"/>
          <w:szCs w:val="21"/>
          <w:lang w:val="sk-SK"/>
        </w:rPr>
        <w:t>, zatiaľ čo</w:t>
      </w:r>
      <w:r w:rsidRPr="00B7616E">
        <w:rPr>
          <w:rFonts w:ascii="Calibri" w:hAnsi="Calibri" w:cs="Calibri"/>
          <w:sz w:val="21"/>
          <w:szCs w:val="21"/>
          <w:lang w:val="sk-SK"/>
        </w:rPr>
        <w:t xml:space="preserve"> na kontinente rozhodnutia získavajú </w:t>
      </w:r>
      <w:r w:rsidR="00176FC9">
        <w:rPr>
          <w:rFonts w:ascii="Calibri" w:hAnsi="Calibri" w:cs="Calibri"/>
          <w:sz w:val="21"/>
          <w:szCs w:val="21"/>
          <w:lang w:val="sk-SK"/>
        </w:rPr>
        <w:t>tým väčšiu silu, čím konštantnejšie sa rozhoduje, niekedy sa hovorí, že záväzná je až t</w:t>
      </w:r>
      <w:r w:rsidRPr="00B7616E">
        <w:rPr>
          <w:rFonts w:ascii="Calibri" w:hAnsi="Calibri" w:cs="Calibri"/>
          <w:sz w:val="21"/>
          <w:szCs w:val="21"/>
          <w:lang w:val="sk-SK"/>
        </w:rPr>
        <w:t>z</w:t>
      </w:r>
      <w:r w:rsidR="00176FC9">
        <w:rPr>
          <w:rFonts w:ascii="Calibri" w:hAnsi="Calibri" w:cs="Calibri"/>
          <w:sz w:val="21"/>
          <w:szCs w:val="21"/>
          <w:lang w:val="sk-SK"/>
        </w:rPr>
        <w:t>v</w:t>
      </w:r>
      <w:r w:rsidRPr="00B7616E">
        <w:rPr>
          <w:rFonts w:ascii="Calibri" w:hAnsi="Calibri" w:cs="Calibri"/>
          <w:sz w:val="21"/>
          <w:szCs w:val="21"/>
          <w:lang w:val="sk-SK"/>
        </w:rPr>
        <w:t>. k</w:t>
      </w:r>
      <w:r w:rsidR="00176FC9">
        <w:rPr>
          <w:rFonts w:ascii="Calibri" w:hAnsi="Calibri" w:cs="Calibri"/>
          <w:sz w:val="21"/>
          <w:szCs w:val="21"/>
          <w:lang w:val="sk-SK"/>
        </w:rPr>
        <w:t>onšta</w:t>
      </w:r>
      <w:r w:rsidRPr="00B7616E">
        <w:rPr>
          <w:rFonts w:ascii="Calibri" w:hAnsi="Calibri" w:cs="Calibri"/>
          <w:sz w:val="21"/>
          <w:szCs w:val="21"/>
          <w:lang w:val="sk-SK"/>
        </w:rPr>
        <w:t>n</w:t>
      </w:r>
      <w:r w:rsidR="00176FC9">
        <w:rPr>
          <w:rFonts w:ascii="Calibri" w:hAnsi="Calibri" w:cs="Calibri"/>
          <w:sz w:val="21"/>
          <w:szCs w:val="21"/>
          <w:lang w:val="sk-SK"/>
        </w:rPr>
        <w:t>tn</w:t>
      </w:r>
      <w:r w:rsidRPr="00B7616E">
        <w:rPr>
          <w:rFonts w:ascii="Calibri" w:hAnsi="Calibri" w:cs="Calibri"/>
          <w:sz w:val="21"/>
          <w:szCs w:val="21"/>
          <w:lang w:val="sk-SK"/>
        </w:rPr>
        <w:t xml:space="preserve">á judikatúra. </w:t>
      </w:r>
    </w:p>
    <w:p w:rsidR="00C24ABB" w:rsidRPr="00B7616E" w:rsidRDefault="00B7616E" w:rsidP="00B7616E">
      <w:pPr>
        <w:spacing w:after="120"/>
        <w:jc w:val="both"/>
        <w:rPr>
          <w:rFonts w:cstheme="minorHAnsi"/>
          <w:sz w:val="21"/>
          <w:szCs w:val="21"/>
          <w:lang w:val="sk-SK"/>
        </w:rPr>
      </w:pPr>
      <w:r w:rsidRPr="00176FC9">
        <w:rPr>
          <w:rFonts w:ascii="Calibri" w:hAnsi="Calibri" w:cs="Calibri"/>
          <w:b/>
          <w:sz w:val="21"/>
          <w:szCs w:val="21"/>
          <w:lang w:val="sk-SK"/>
        </w:rPr>
        <w:t>c)</w:t>
      </w:r>
      <w:r w:rsidRPr="00B7616E">
        <w:rPr>
          <w:rFonts w:ascii="Calibri" w:hAnsi="Calibri" w:cs="Calibri"/>
          <w:sz w:val="21"/>
          <w:szCs w:val="21"/>
          <w:lang w:val="sk-SK"/>
        </w:rPr>
        <w:t xml:space="preserve"> </w:t>
      </w:r>
      <w:r w:rsidRPr="00176FC9">
        <w:rPr>
          <w:rFonts w:ascii="Calibri" w:hAnsi="Calibri" w:cs="Calibri"/>
          <w:i/>
          <w:sz w:val="21"/>
          <w:szCs w:val="21"/>
          <w:lang w:val="sk-SK"/>
        </w:rPr>
        <w:t>koncentrácia právomoci</w:t>
      </w:r>
      <w:r w:rsidRPr="00B7616E">
        <w:rPr>
          <w:rFonts w:ascii="Calibri" w:hAnsi="Calibri" w:cs="Calibri"/>
          <w:sz w:val="21"/>
          <w:szCs w:val="21"/>
          <w:lang w:val="sk-SK"/>
        </w:rPr>
        <w:t xml:space="preserve">: v </w:t>
      </w:r>
      <w:proofErr w:type="spellStart"/>
      <w:r w:rsidRPr="00B7616E">
        <w:rPr>
          <w:rFonts w:ascii="Calibri" w:hAnsi="Calibri" w:cs="Calibri"/>
          <w:sz w:val="21"/>
          <w:szCs w:val="21"/>
          <w:lang w:val="sk-SK"/>
        </w:rPr>
        <w:t>common</w:t>
      </w:r>
      <w:proofErr w:type="spellEnd"/>
      <w:r w:rsidRPr="00B7616E">
        <w:rPr>
          <w:rFonts w:ascii="Calibri" w:hAnsi="Calibri" w:cs="Calibri"/>
          <w:sz w:val="21"/>
          <w:szCs w:val="21"/>
          <w:lang w:val="sk-SK"/>
        </w:rPr>
        <w:t xml:space="preserve"> </w:t>
      </w:r>
      <w:proofErr w:type="spellStart"/>
      <w:r w:rsidRPr="00B7616E">
        <w:rPr>
          <w:rFonts w:ascii="Calibri" w:hAnsi="Calibri" w:cs="Calibri"/>
          <w:sz w:val="21"/>
          <w:szCs w:val="21"/>
          <w:lang w:val="sk-SK"/>
        </w:rPr>
        <w:t>law</w:t>
      </w:r>
      <w:proofErr w:type="spellEnd"/>
      <w:r w:rsidRPr="00B7616E">
        <w:rPr>
          <w:rFonts w:ascii="Calibri" w:hAnsi="Calibri" w:cs="Calibri"/>
          <w:sz w:val="21"/>
          <w:szCs w:val="21"/>
          <w:lang w:val="sk-SK"/>
        </w:rPr>
        <w:t xml:space="preserve"> sa právotvorná funkcia súdov koncentruje najmä vo vrcholových súdoch, </w:t>
      </w:r>
      <w:r w:rsidR="00176FC9">
        <w:rPr>
          <w:rFonts w:ascii="Calibri" w:hAnsi="Calibri" w:cs="Calibri"/>
          <w:sz w:val="21"/>
          <w:szCs w:val="21"/>
          <w:lang w:val="sk-SK"/>
        </w:rPr>
        <w:t xml:space="preserve">pretože len tie smú prelamovať precedensy, zatiaľ čo </w:t>
      </w:r>
      <w:r w:rsidRPr="00B7616E">
        <w:rPr>
          <w:rFonts w:ascii="Calibri" w:hAnsi="Calibri" w:cs="Calibri"/>
          <w:sz w:val="21"/>
          <w:szCs w:val="21"/>
          <w:lang w:val="sk-SK"/>
        </w:rPr>
        <w:t xml:space="preserve">na kontinente je táto funkcia rozptýlenejšia: v zásade každý súd môže vyskúšať prelomiť konštantnú judikatúru, ak má na takýto postup závažné dôvody. </w:t>
      </w:r>
    </w:p>
    <w:sectPr w:rsidR="00C24ABB" w:rsidRPr="00B7616E" w:rsidSect="000D48A6">
      <w:footerReference w:type="default" r:id="rId9"/>
      <w:pgSz w:w="11906" w:h="16838"/>
      <w:pgMar w:top="851" w:right="991" w:bottom="426"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C8" w:rsidRDefault="00FC34C8">
      <w:pPr>
        <w:spacing w:after="0" w:line="240" w:lineRule="auto"/>
      </w:pPr>
      <w:r>
        <w:separator/>
      </w:r>
    </w:p>
  </w:endnote>
  <w:endnote w:type="continuationSeparator" w:id="0">
    <w:p w:rsidR="00FC34C8" w:rsidRDefault="00FC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45531"/>
      <w:docPartObj>
        <w:docPartGallery w:val="Page Numbers (Bottom of Page)"/>
        <w:docPartUnique/>
      </w:docPartObj>
    </w:sdtPr>
    <w:sdtEndPr/>
    <w:sdtContent>
      <w:p w:rsidR="002D38D5" w:rsidRDefault="002D38D5">
        <w:pPr>
          <w:pStyle w:val="Pta"/>
          <w:jc w:val="center"/>
        </w:pPr>
        <w:r>
          <w:fldChar w:fldCharType="begin"/>
        </w:r>
        <w:r>
          <w:instrText>PAGE   \* MERGEFORMAT</w:instrText>
        </w:r>
        <w:r>
          <w:fldChar w:fldCharType="separate"/>
        </w:r>
        <w:r w:rsidR="006666EF" w:rsidRPr="006666EF">
          <w:rPr>
            <w:noProof/>
            <w:lang w:val="sk-SK"/>
          </w:rPr>
          <w:t>3</w:t>
        </w:r>
        <w:r>
          <w:fldChar w:fldCharType="end"/>
        </w:r>
      </w:p>
    </w:sdtContent>
  </w:sdt>
  <w:p w:rsidR="002D38D5" w:rsidRDefault="002D38D5">
    <w:pPr>
      <w:pStyle w:val="Pta"/>
    </w:pPr>
  </w:p>
  <w:p w:rsidR="002D38D5" w:rsidRDefault="002D38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C8" w:rsidRDefault="00FC34C8">
      <w:pPr>
        <w:spacing w:after="0" w:line="240" w:lineRule="auto"/>
      </w:pPr>
      <w:r>
        <w:separator/>
      </w:r>
    </w:p>
  </w:footnote>
  <w:footnote w:type="continuationSeparator" w:id="0">
    <w:p w:rsidR="00FC34C8" w:rsidRDefault="00FC3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A2866"/>
    <w:multiLevelType w:val="hybridMultilevel"/>
    <w:tmpl w:val="6872369A"/>
    <w:lvl w:ilvl="0" w:tplc="DE447F2E">
      <w:start w:val="1"/>
      <w:numFmt w:val="bullet"/>
      <w:lvlText w:val="–"/>
      <w:lvlJc w:val="left"/>
      <w:pPr>
        <w:ind w:left="720" w:hanging="360"/>
      </w:pPr>
      <w:rPr>
        <w:rFonts w:ascii="Calibri" w:eastAsia="Calibri"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wMDQ0MjA1MDI3MTJQ0lEKTi0uzszPAykwqQUAeXW6aywAAAA="/>
  </w:docVars>
  <w:rsids>
    <w:rsidRoot w:val="000D48A6"/>
    <w:rsid w:val="000B786F"/>
    <w:rsid w:val="000D48A6"/>
    <w:rsid w:val="00115C03"/>
    <w:rsid w:val="00176FC9"/>
    <w:rsid w:val="00237580"/>
    <w:rsid w:val="00286E01"/>
    <w:rsid w:val="002D38D5"/>
    <w:rsid w:val="003216D6"/>
    <w:rsid w:val="004A2DB4"/>
    <w:rsid w:val="004E6933"/>
    <w:rsid w:val="00584736"/>
    <w:rsid w:val="005E54DE"/>
    <w:rsid w:val="006107A3"/>
    <w:rsid w:val="006666EF"/>
    <w:rsid w:val="00771562"/>
    <w:rsid w:val="007E0147"/>
    <w:rsid w:val="0084070D"/>
    <w:rsid w:val="00866151"/>
    <w:rsid w:val="009210A0"/>
    <w:rsid w:val="009C0664"/>
    <w:rsid w:val="00A707E2"/>
    <w:rsid w:val="00B7616E"/>
    <w:rsid w:val="00BD73EB"/>
    <w:rsid w:val="00C24022"/>
    <w:rsid w:val="00C24ABB"/>
    <w:rsid w:val="00C71ECC"/>
    <w:rsid w:val="00CE317B"/>
    <w:rsid w:val="00E21FCC"/>
    <w:rsid w:val="00FC02C8"/>
    <w:rsid w:val="00FC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0D48A6"/>
    <w:pPr>
      <w:tabs>
        <w:tab w:val="center" w:pos="4513"/>
        <w:tab w:val="right" w:pos="9026"/>
      </w:tabs>
      <w:spacing w:after="0" w:line="240" w:lineRule="auto"/>
    </w:pPr>
  </w:style>
  <w:style w:type="character" w:customStyle="1" w:styleId="PtaChar">
    <w:name w:val="Päta Char"/>
    <w:basedOn w:val="Predvolenpsmoodseku"/>
    <w:link w:val="Pta"/>
    <w:uiPriority w:val="99"/>
    <w:rsid w:val="000D48A6"/>
  </w:style>
  <w:style w:type="paragraph" w:styleId="Odsekzoznamu">
    <w:name w:val="List Paragraph"/>
    <w:basedOn w:val="Normlny"/>
    <w:uiPriority w:val="34"/>
    <w:qFormat/>
    <w:rsid w:val="000D48A6"/>
    <w:pPr>
      <w:ind w:left="720"/>
      <w:contextualSpacing/>
    </w:pPr>
  </w:style>
  <w:style w:type="paragraph" w:styleId="Zarkazkladnhotextu">
    <w:name w:val="Body Text Indent"/>
    <w:basedOn w:val="Normlny"/>
    <w:link w:val="ZarkazkladnhotextuChar"/>
    <w:rsid w:val="002D38D5"/>
    <w:pPr>
      <w:spacing w:after="0" w:line="360" w:lineRule="auto"/>
      <w:ind w:firstLine="708"/>
      <w:jc w:val="both"/>
    </w:pPr>
    <w:rPr>
      <w:rFonts w:ascii="Times New Roman" w:eastAsia="Times New Roman" w:hAnsi="Times New Roman" w:cs="Times New Roman"/>
      <w:sz w:val="24"/>
      <w:szCs w:val="24"/>
      <w:lang w:val="sk-SK" w:eastAsia="cs-CZ"/>
    </w:rPr>
  </w:style>
  <w:style w:type="character" w:customStyle="1" w:styleId="ZarkazkladnhotextuChar">
    <w:name w:val="Zarážka základného textu Char"/>
    <w:basedOn w:val="Predvolenpsmoodseku"/>
    <w:link w:val="Zarkazkladnhotextu"/>
    <w:rsid w:val="002D38D5"/>
    <w:rPr>
      <w:rFonts w:ascii="Times New Roman" w:eastAsia="Times New Roman" w:hAnsi="Times New Roman" w:cs="Times New Roman"/>
      <w:sz w:val="24"/>
      <w:szCs w:val="24"/>
      <w:lang w:val="sk-SK"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0D48A6"/>
    <w:pPr>
      <w:tabs>
        <w:tab w:val="center" w:pos="4513"/>
        <w:tab w:val="right" w:pos="9026"/>
      </w:tabs>
      <w:spacing w:after="0" w:line="240" w:lineRule="auto"/>
    </w:pPr>
  </w:style>
  <w:style w:type="character" w:customStyle="1" w:styleId="PtaChar">
    <w:name w:val="Päta Char"/>
    <w:basedOn w:val="Predvolenpsmoodseku"/>
    <w:link w:val="Pta"/>
    <w:uiPriority w:val="99"/>
    <w:rsid w:val="000D48A6"/>
  </w:style>
  <w:style w:type="paragraph" w:styleId="Odsekzoznamu">
    <w:name w:val="List Paragraph"/>
    <w:basedOn w:val="Normlny"/>
    <w:uiPriority w:val="34"/>
    <w:qFormat/>
    <w:rsid w:val="000D48A6"/>
    <w:pPr>
      <w:ind w:left="720"/>
      <w:contextualSpacing/>
    </w:pPr>
  </w:style>
  <w:style w:type="paragraph" w:styleId="Zarkazkladnhotextu">
    <w:name w:val="Body Text Indent"/>
    <w:basedOn w:val="Normlny"/>
    <w:link w:val="ZarkazkladnhotextuChar"/>
    <w:rsid w:val="002D38D5"/>
    <w:pPr>
      <w:spacing w:after="0" w:line="360" w:lineRule="auto"/>
      <w:ind w:firstLine="708"/>
      <w:jc w:val="both"/>
    </w:pPr>
    <w:rPr>
      <w:rFonts w:ascii="Times New Roman" w:eastAsia="Times New Roman" w:hAnsi="Times New Roman" w:cs="Times New Roman"/>
      <w:sz w:val="24"/>
      <w:szCs w:val="24"/>
      <w:lang w:val="sk-SK" w:eastAsia="cs-CZ"/>
    </w:rPr>
  </w:style>
  <w:style w:type="character" w:customStyle="1" w:styleId="ZarkazkladnhotextuChar">
    <w:name w:val="Zarážka základného textu Char"/>
    <w:basedOn w:val="Predvolenpsmoodseku"/>
    <w:link w:val="Zarkazkladnhotextu"/>
    <w:rsid w:val="002D38D5"/>
    <w:rPr>
      <w:rFonts w:ascii="Times New Roman" w:eastAsia="Times New Roman" w:hAnsi="Times New Roman" w:cs="Times New Roman"/>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5CD5B-51A7-46F9-AE5A-052CD0AF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Pages>
  <Words>1823</Words>
  <Characters>10394</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8</cp:revision>
  <dcterms:created xsi:type="dcterms:W3CDTF">2019-11-01T11:25:00Z</dcterms:created>
  <dcterms:modified xsi:type="dcterms:W3CDTF">2019-11-03T17:28:00Z</dcterms:modified>
</cp:coreProperties>
</file>