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5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14"/>
        <w:gridCol w:w="2127"/>
        <w:gridCol w:w="7216"/>
      </w:tblGrid>
      <w:tr w:rsidRPr="00FF6B5A" w:rsidR="00FF6B5A" w:rsidTr="1210A738" w14:paraId="38D0CD8E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6684C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6A475A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E5BD6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344792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1210A738" w14:paraId="53F6ED05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6A9A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2F5597"/>
            <w:tcMar/>
            <w:vAlign w:val="center"/>
            <w:hideMark/>
          </w:tcPr>
          <w:p w:rsidRPr="00FF6B5A" w:rsidR="00FF6B5A" w:rsidP="00FF6B5A" w:rsidRDefault="00FF6B5A" w14:paraId="3DBE98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output</w:t>
            </w:r>
          </w:p>
        </w:tc>
      </w:tr>
      <w:tr w:rsidRPr="00FF6B5A" w:rsidR="00FF6B5A" w:rsidTr="1210A738" w14:paraId="4724038A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2EFA88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7F219A2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Pr="00FF6B5A" w:rsidR="00FF6B5A" w:rsidTr="1210A738" w14:paraId="03B92B4F" w14:textId="77777777">
        <w:trPr>
          <w:trHeight w:val="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BA8ADA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1AEE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4745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465346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1210A738" w14:paraId="6D5473D5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1BF37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FB4FCD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Pr="00FF6B5A" w:rsidR="00FF6B5A" w:rsidTr="1210A738" w14:paraId="5D274F5F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BECA744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20D9C355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</w:tr>
      <w:tr w:rsidRPr="00FF6B5A" w:rsidR="00FF6B5A" w:rsidTr="1210A738" w14:paraId="50B7CF3D" w14:textId="77777777">
        <w:trPr>
          <w:trHeight w:val="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81CD1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14AD04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C973E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613531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1210A738" w14:paraId="27F923D2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9640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3B63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4E4845" w:rsidRDefault="008A7442" w14:paraId="2A6A790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8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ID konania/ID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procedure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51B1AAF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1210A738" w14:paraId="240110FC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BDFF17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93EB1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bookmarkStart w:name="RANGE!C9" w:id="0"/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FF6B5A" w:rsidRDefault="00FF6B5A" w14:paraId="752D5F5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begin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separate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output (RAOO):</w:t>
            </w:r>
            <w:r w:rsidRPr="00FF6B5A">
              <w:rPr>
                <w:rFonts w:ascii="Calibri" w:hAnsi="Calibri" w:eastAsia="Times New Roman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68AF313E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FF6B5A" w:rsidTr="1210A738" w14:paraId="6649BE5D" w14:textId="77777777">
        <w:trPr>
          <w:trHeight w:val="40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7F557E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A3945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0235CF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6578CC7D" w14:textId="77777777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Pr="00FF6B5A" w:rsidR="00FF6B5A" w:rsidTr="1210A738" w14:paraId="0D462BED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18D6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8A7442" w14:paraId="71E1D3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9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OCA1.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Priezvisko hodnotenej osob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y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Surname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7F7381C4" w14:textId="7D3EAB4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  <w:proofErr w:type="spellStart"/>
            <w:r w:rsidR="00FC5E34">
              <w:rPr>
                <w:rFonts w:eastAsia="Times New Roman" w:cstheme="minorHAnsi"/>
                <w:color w:val="000000"/>
                <w:lang w:eastAsia="sk-SK"/>
              </w:rPr>
              <w:t>Ž</w:t>
            </w:r>
            <w:r w:rsidR="00FC5E34">
              <w:rPr>
                <w:rFonts w:eastAsia="Times New Roman"/>
                <w:color w:val="000000"/>
                <w:lang w:eastAsia="sk-SK"/>
              </w:rPr>
              <w:t>itňanská</w:t>
            </w:r>
            <w:proofErr w:type="spellEnd"/>
          </w:p>
        </w:tc>
      </w:tr>
      <w:tr w:rsidRPr="00FF6B5A" w:rsidR="00FF6B5A" w:rsidTr="1210A738" w14:paraId="0B0CB2B5" w14:textId="77777777">
        <w:trPr>
          <w:trHeight w:val="3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80FCFF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8A7442" w14:paraId="71AAA274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0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OCA2.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Meno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3A2726EA" w14:textId="3A8476C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="00FC5E34">
              <w:rPr>
                <w:rFonts w:eastAsia="Times New Roman" w:cstheme="minorHAnsi"/>
                <w:color w:val="000000"/>
                <w:lang w:eastAsia="sk-SK"/>
              </w:rPr>
              <w:t>L</w:t>
            </w:r>
            <w:r w:rsidR="00FC5E34">
              <w:rPr>
                <w:rFonts w:eastAsia="Times New Roman"/>
                <w:color w:val="000000"/>
                <w:lang w:eastAsia="sk-SK"/>
              </w:rPr>
              <w:t>ucia</w:t>
            </w:r>
          </w:p>
        </w:tc>
      </w:tr>
      <w:tr w:rsidRPr="00FF6B5A" w:rsidR="00FF6B5A" w:rsidTr="1210A738" w14:paraId="04319611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130791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8A7442" w14:paraId="3BA2F938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1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OCA3.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Tituly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Degrees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C5E34" w14:paraId="763FAF36" w14:textId="1B4992C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D</w:t>
            </w:r>
            <w:r>
              <w:rPr>
                <w:rFonts w:eastAsia="Times New Roman"/>
                <w:color w:val="000000"/>
                <w:lang w:eastAsia="sk-SK"/>
              </w:rPr>
              <w:t>oc. JUDr. PhD.</w:t>
            </w:r>
            <w:r w:rsidRPr="00CB01FF" w:rsidR="000C473D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</w:p>
        </w:tc>
      </w:tr>
      <w:tr w:rsidRPr="00FF6B5A" w:rsidR="00FF6B5A" w:rsidTr="1210A738" w14:paraId="56709914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D56CF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8A7442" w14:paraId="0673E1CA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2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OCA4.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entry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university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staff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0C473D" w:rsidP="000C473D" w:rsidRDefault="00433097" w14:paraId="0B7CAEFF" w14:textId="53E34D7D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sk-SK"/>
              </w:rPr>
            </w:pPr>
            <w:r w:rsidRPr="00433097">
              <w:rPr>
                <w:rFonts w:eastAsia="Times New Roman" w:cstheme="minorHAnsi"/>
                <w:iCs/>
                <w:color w:val="000000"/>
                <w:lang w:eastAsia="sk-SK"/>
              </w:rPr>
              <w:t>https://www.portalvs.sk/regzam/detail/11950</w:t>
            </w:r>
          </w:p>
          <w:p w:rsidRPr="00CB01FF" w:rsidR="00FF6B5A" w:rsidP="00FF6B5A" w:rsidRDefault="00FF6B5A" w14:paraId="26A9AD78" w14:textId="4952171F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1210A738" w14:paraId="14D19C3C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AD6E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8A7442" w14:paraId="7082922F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3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OCA5.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Oblasť posudzovania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Area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assessment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422600" w:rsidRDefault="00FF6B5A" w14:paraId="5C2F11FA" w14:textId="3D411303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lang w:eastAsia="sk-SK"/>
              </w:rPr>
              <w:t> </w:t>
            </w:r>
            <w:r w:rsidRPr="00CB01FF" w:rsidR="00422600">
              <w:rPr>
                <w:rFonts w:cstheme="minorHAnsi"/>
              </w:rPr>
              <w:t xml:space="preserve">Študijný program </w:t>
            </w:r>
            <w:r w:rsidRPr="00CB01FF" w:rsidR="00CE5D14">
              <w:rPr>
                <w:rFonts w:cstheme="minorHAnsi"/>
              </w:rPr>
              <w:t>Občianske</w:t>
            </w:r>
            <w:r w:rsidRPr="00CB01FF" w:rsidR="00422600">
              <w:rPr>
                <w:rFonts w:cstheme="minorHAnsi"/>
              </w:rPr>
              <w:t xml:space="preserve"> právo, 3. stupeň / </w:t>
            </w:r>
            <w:proofErr w:type="spellStart"/>
            <w:r w:rsidRPr="00CB01FF" w:rsidR="00422600">
              <w:rPr>
                <w:rFonts w:cstheme="minorHAnsi"/>
              </w:rPr>
              <w:t>Third</w:t>
            </w:r>
            <w:proofErr w:type="spellEnd"/>
            <w:r w:rsidRPr="00CB01FF" w:rsidR="00422600">
              <w:rPr>
                <w:rFonts w:cstheme="minorHAnsi"/>
              </w:rPr>
              <w:t xml:space="preserve"> </w:t>
            </w:r>
            <w:proofErr w:type="spellStart"/>
            <w:r w:rsidRPr="00CB01FF" w:rsidR="00422600">
              <w:rPr>
                <w:rFonts w:cstheme="minorHAnsi"/>
              </w:rPr>
              <w:t>degree</w:t>
            </w:r>
            <w:proofErr w:type="spellEnd"/>
            <w:r w:rsidRPr="00CB01FF" w:rsidR="00422600">
              <w:rPr>
                <w:rFonts w:cstheme="minorHAnsi"/>
              </w:rPr>
              <w:t xml:space="preserve"> study programe "</w:t>
            </w:r>
            <w:r w:rsidRPr="00CB01FF" w:rsidR="00CE5D14">
              <w:rPr>
                <w:rFonts w:cstheme="minorHAnsi"/>
              </w:rPr>
              <w:t>Civil</w:t>
            </w:r>
            <w:r w:rsidRPr="00CB01FF" w:rsidR="00422600">
              <w:rPr>
                <w:rFonts w:cstheme="minorHAnsi"/>
              </w:rPr>
              <w:t xml:space="preserve"> </w:t>
            </w:r>
            <w:proofErr w:type="spellStart"/>
            <w:r w:rsidRPr="00CB01FF" w:rsidR="00422600">
              <w:rPr>
                <w:rFonts w:cstheme="minorHAnsi"/>
              </w:rPr>
              <w:t>law</w:t>
            </w:r>
            <w:proofErr w:type="spellEnd"/>
            <w:r w:rsidRPr="00CB01FF" w:rsidR="00422600">
              <w:rPr>
                <w:rFonts w:cstheme="minorHAnsi"/>
              </w:rPr>
              <w:t>"</w:t>
            </w:r>
          </w:p>
        </w:tc>
      </w:tr>
      <w:tr w:rsidRPr="00FF6B5A" w:rsidR="008E2108" w:rsidTr="1210A738" w14:paraId="5AE22338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8E2108" w:rsidP="00FF6B5A" w:rsidRDefault="008E2108" w14:paraId="4863594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5DCE4" w:themeFill="text2" w:themeFillTint="33"/>
            <w:tcMar/>
            <w:vAlign w:val="center"/>
          </w:tcPr>
          <w:p w:rsidR="008E2108" w:rsidP="1210A738" w:rsidRDefault="00C40D4D" w14:paraId="2665BEF5" w14:textId="3A6CDA5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sk-SK"/>
              </w:rPr>
            </w:pPr>
            <w:r w:rsidRPr="1210A738" w:rsidR="665B93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sk-SK"/>
              </w:rPr>
              <w:t>Zaradenie (PF TU)</w:t>
            </w:r>
          </w:p>
        </w:tc>
        <w:tc>
          <w:tcPr>
            <w:tcW w:w="0" w:type="auto"/>
            <w:shd w:val="clear" w:color="auto" w:fill="auto"/>
            <w:tcMar/>
          </w:tcPr>
          <w:p w:rsidRPr="00CB01FF" w:rsidR="008E2108" w:rsidP="7D529ACC" w:rsidRDefault="00CE5D14" w14:paraId="285B8AA2" w14:textId="7E022D99">
            <w:pPr>
              <w:spacing w:after="0" w:line="240" w:lineRule="auto"/>
              <w:rPr>
                <w:rFonts w:eastAsia="Times New Roman" w:cs="Calibri" w:cstheme="minorAscii"/>
                <w:color w:val="000000"/>
                <w:lang w:eastAsia="sk-SK"/>
              </w:rPr>
            </w:pPr>
            <w:r w:rsidRPr="7D529ACC" w:rsidR="00CE5D14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A</w:t>
            </w:r>
          </w:p>
        </w:tc>
      </w:tr>
      <w:tr w:rsidRPr="00FF6B5A" w:rsidR="00FF6B5A" w:rsidTr="1210A738" w14:paraId="2755EA2A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06E084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="00FF6B5A" w:rsidP="008E2108" w:rsidRDefault="008A7442" w14:paraId="0840DCC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</w:pPr>
            <w:hyperlink w:history="1" w:anchor="Expl.OCA6!A1" r:id="rId14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OCA6. </w:t>
              </w:r>
              <w:r w:rsidRPr="00087B3E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Kategória výstupu tvorivej činnosti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Category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/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:rsidRPr="00FF6B5A" w:rsidR="008E2108" w:rsidP="008E2108" w:rsidRDefault="008E2108" w14:paraId="3B623BE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lastRenderedPageBreak/>
              <w:t>vedecký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 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42A0A139" w14:textId="742BCB01">
            <w:pPr>
              <w:spacing w:after="0" w:line="240" w:lineRule="auto"/>
              <w:rPr>
                <w:rFonts w:eastAsia="Times New Roman" w:cstheme="minorHAnsi"/>
                <w:iCs/>
                <w:color w:val="00B0F0"/>
                <w:lang w:eastAsia="sk-SK"/>
              </w:rPr>
            </w:pPr>
            <w:r w:rsidRPr="00CB01FF">
              <w:rPr>
                <w:rFonts w:eastAsia="Times New Roman" w:cstheme="minorHAnsi"/>
                <w:i/>
                <w:iCs/>
                <w:lang w:eastAsia="sk-SK"/>
              </w:rPr>
              <w:lastRenderedPageBreak/>
              <w:t> </w:t>
            </w:r>
            <w:r w:rsidRPr="00CB01FF" w:rsidR="00942518">
              <w:rPr>
                <w:rFonts w:eastAsia="Times New Roman" w:cstheme="minorHAnsi"/>
                <w:b/>
                <w:color w:val="000000"/>
                <w:lang w:eastAsia="sk-SK"/>
              </w:rPr>
              <w:t>vedecký výstup</w:t>
            </w:r>
            <w:r w:rsidRPr="00CB01FF" w:rsidR="00942518">
              <w:rPr>
                <w:rFonts w:eastAsia="Times New Roman" w:cstheme="minorHAnsi"/>
                <w:color w:val="000000"/>
                <w:lang w:eastAsia="sk-SK"/>
              </w:rPr>
              <w:t xml:space="preserve"> / </w:t>
            </w:r>
            <w:proofErr w:type="spellStart"/>
            <w:r w:rsidRPr="00CB01FF" w:rsidR="00942518">
              <w:rPr>
                <w:rFonts w:eastAsia="Times New Roman" w:cstheme="minorHAnsi"/>
                <w:color w:val="000000"/>
                <w:lang w:eastAsia="sk-SK"/>
              </w:rPr>
              <w:t>scientific</w:t>
            </w:r>
            <w:proofErr w:type="spellEnd"/>
            <w:r w:rsidRPr="00CB01FF" w:rsidR="00942518">
              <w:rPr>
                <w:rFonts w:eastAsia="Times New Roman" w:cstheme="minorHAnsi"/>
                <w:color w:val="000000"/>
                <w:lang w:eastAsia="sk-SK"/>
              </w:rPr>
              <w:t xml:space="preserve"> output</w:t>
            </w:r>
          </w:p>
        </w:tc>
      </w:tr>
      <w:tr w:rsidRPr="00FF6B5A" w:rsidR="00FF6B5A" w:rsidTr="1210A738" w14:paraId="5CF1856E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6051AA9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2CDC913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24BC0AA8" w14:textId="0A9A0A6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CB01FF" w:rsidR="00CE5D14">
              <w:rPr>
                <w:rFonts w:eastAsia="Times New Roman" w:cstheme="minorHAnsi"/>
                <w:color w:val="000000"/>
                <w:lang w:eastAsia="sk-SK"/>
              </w:rPr>
              <w:t>20</w:t>
            </w:r>
            <w:r w:rsidR="00E55886">
              <w:rPr>
                <w:rFonts w:eastAsia="Times New Roman" w:cstheme="minorHAnsi"/>
                <w:color w:val="000000"/>
                <w:lang w:eastAsia="sk-SK"/>
              </w:rPr>
              <w:t>1</w:t>
            </w:r>
            <w:r w:rsidR="002345F4">
              <w:rPr>
                <w:rFonts w:eastAsia="Times New Roman" w:cstheme="minorHAnsi"/>
                <w:color w:val="000000"/>
                <w:lang w:eastAsia="sk-SK"/>
              </w:rPr>
              <w:t>7</w:t>
            </w:r>
          </w:p>
        </w:tc>
      </w:tr>
      <w:tr w:rsidRPr="00FF6B5A" w:rsidR="00FF6B5A" w:rsidTr="1210A738" w14:paraId="70C2F838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98A1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8A7442" w14:paraId="528620AE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5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OCA8.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ID záznamu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lang w:eastAsia="sk-SK"/>
                </w:rPr>
                <w:t>(ak je)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(CRPA) or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346C92" w:rsidR="00422600" w:rsidP="00346C92" w:rsidRDefault="00346C92" w14:paraId="7EA0900B" w14:textId="296EEF99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615F85">
              <w:rPr>
                <w:rFonts w:eastAsia="Times New Roman" w:cstheme="minorHAnsi"/>
                <w:lang w:eastAsia="sk-SK"/>
              </w:rPr>
              <w:t xml:space="preserve">ID: 413573 | Akciová spoločnosť (§ 154-220g) : Diel V, Hlava I, druhá časť / </w:t>
            </w:r>
            <w:proofErr w:type="spellStart"/>
            <w:r w:rsidRPr="00615F85">
              <w:rPr>
                <w:rFonts w:eastAsia="Times New Roman" w:cstheme="minorHAnsi"/>
                <w:lang w:eastAsia="sk-SK"/>
              </w:rPr>
              <w:t>Pala</w:t>
            </w:r>
            <w:proofErr w:type="spellEnd"/>
            <w:r w:rsidRPr="00615F85">
              <w:rPr>
                <w:rFonts w:eastAsia="Times New Roman" w:cstheme="minorHAnsi"/>
                <w:lang w:eastAsia="sk-SK"/>
              </w:rPr>
              <w:t xml:space="preserve">, Radovan [Autor, 32%] ; </w:t>
            </w:r>
            <w:proofErr w:type="spellStart"/>
            <w:r w:rsidRPr="00615F85">
              <w:rPr>
                <w:rFonts w:eastAsia="Times New Roman" w:cstheme="minorHAnsi"/>
                <w:lang w:eastAsia="sk-SK"/>
              </w:rPr>
              <w:t>Palová</w:t>
            </w:r>
            <w:proofErr w:type="spellEnd"/>
            <w:r w:rsidRPr="00615F85">
              <w:rPr>
                <w:rFonts w:eastAsia="Times New Roman" w:cstheme="minorHAnsi"/>
                <w:lang w:eastAsia="sk-SK"/>
              </w:rPr>
              <w:t xml:space="preserve">, Ivana [Autor, 32%] ; Šuleková, Žofia [Autor, 4%] ; </w:t>
            </w:r>
            <w:proofErr w:type="spellStart"/>
            <w:r w:rsidRPr="00615F85">
              <w:rPr>
                <w:rFonts w:eastAsia="Times New Roman" w:cstheme="minorHAnsi"/>
                <w:lang w:eastAsia="sk-SK"/>
              </w:rPr>
              <w:t>Žitňanská</w:t>
            </w:r>
            <w:proofErr w:type="spellEnd"/>
            <w:r w:rsidRPr="00615F85">
              <w:rPr>
                <w:rFonts w:eastAsia="Times New Roman" w:cstheme="minorHAnsi"/>
                <w:lang w:eastAsia="sk-SK"/>
              </w:rPr>
              <w:t xml:space="preserve">, Lucia [Autor, 32%]. – [recenzované] </w:t>
            </w:r>
            <w:r w:rsidRPr="00615F85">
              <w:rPr>
                <w:rFonts w:eastAsia="Times New Roman" w:cstheme="minorHAnsi"/>
                <w:lang w:eastAsia="sk-SK"/>
              </w:rPr>
              <w:br/>
            </w:r>
            <w:r w:rsidRPr="00615F85">
              <w:rPr>
                <w:rFonts w:eastAsia="Times New Roman" w:cstheme="minorHAnsi"/>
                <w:lang w:eastAsia="sk-SK"/>
              </w:rPr>
              <w:t xml:space="preserve">In: </w:t>
            </w:r>
            <w:r w:rsidRPr="00615F85">
              <w:rPr>
                <w:rFonts w:eastAsia="Times New Roman" w:cstheme="minorHAnsi"/>
                <w:i/>
                <w:iCs/>
                <w:lang w:eastAsia="sk-SK"/>
              </w:rPr>
              <w:t>Obchodný zákonník</w:t>
            </w:r>
            <w:r w:rsidRPr="00615F85">
              <w:rPr>
                <w:rFonts w:eastAsia="Times New Roman" w:cstheme="minorHAnsi"/>
                <w:lang w:eastAsia="sk-SK"/>
              </w:rPr>
              <w:t xml:space="preserve"> (1) [textový dokument (</w:t>
            </w:r>
            <w:proofErr w:type="spellStart"/>
            <w:r w:rsidRPr="00615F85">
              <w:rPr>
                <w:rFonts w:eastAsia="Times New Roman" w:cstheme="minorHAnsi"/>
                <w:lang w:eastAsia="sk-SK"/>
              </w:rPr>
              <w:t>print</w:t>
            </w:r>
            <w:proofErr w:type="spellEnd"/>
            <w:r w:rsidRPr="00615F85">
              <w:rPr>
                <w:rFonts w:eastAsia="Times New Roman" w:cstheme="minorHAnsi"/>
                <w:lang w:eastAsia="sk-SK"/>
              </w:rPr>
              <w:t xml:space="preserve">)] [elektronický dokument] : veľký komentár : (§ 1 až 260) / Ovečková, Oľga [Autor]. – 1. vyd. – Bratislava (Slovensko) : </w:t>
            </w:r>
            <w:proofErr w:type="spellStart"/>
            <w:r w:rsidRPr="00615F85">
              <w:rPr>
                <w:rFonts w:eastAsia="Times New Roman" w:cstheme="minorHAnsi"/>
                <w:lang w:eastAsia="sk-SK"/>
              </w:rPr>
              <w:t>Wolters</w:t>
            </w:r>
            <w:proofErr w:type="spellEnd"/>
            <w:r w:rsidRPr="00615F85">
              <w:rPr>
                <w:rFonts w:eastAsia="Times New Roman" w:cstheme="minorHAnsi"/>
                <w:lang w:eastAsia="sk-SK"/>
              </w:rPr>
              <w:t xml:space="preserve"> </w:t>
            </w:r>
            <w:proofErr w:type="spellStart"/>
            <w:r w:rsidRPr="00615F85">
              <w:rPr>
                <w:rFonts w:eastAsia="Times New Roman" w:cstheme="minorHAnsi"/>
                <w:lang w:eastAsia="sk-SK"/>
              </w:rPr>
              <w:t>Kluwer</w:t>
            </w:r>
            <w:proofErr w:type="spellEnd"/>
            <w:r w:rsidRPr="00615F85">
              <w:rPr>
                <w:rFonts w:eastAsia="Times New Roman" w:cstheme="minorHAnsi"/>
                <w:lang w:eastAsia="sk-SK"/>
              </w:rPr>
              <w:t xml:space="preserve">, 2017. – (Komentáre </w:t>
            </w:r>
            <w:proofErr w:type="spellStart"/>
            <w:r w:rsidRPr="00615F85">
              <w:rPr>
                <w:rFonts w:eastAsia="Times New Roman" w:cstheme="minorHAnsi"/>
                <w:lang w:eastAsia="sk-SK"/>
              </w:rPr>
              <w:t>Wolters</w:t>
            </w:r>
            <w:proofErr w:type="spellEnd"/>
            <w:r w:rsidRPr="00615F85">
              <w:rPr>
                <w:rFonts w:eastAsia="Times New Roman" w:cstheme="minorHAnsi"/>
                <w:lang w:eastAsia="sk-SK"/>
              </w:rPr>
              <w:t xml:space="preserve"> </w:t>
            </w:r>
            <w:proofErr w:type="spellStart"/>
            <w:r w:rsidRPr="00615F85">
              <w:rPr>
                <w:rFonts w:eastAsia="Times New Roman" w:cstheme="minorHAnsi"/>
                <w:lang w:eastAsia="sk-SK"/>
              </w:rPr>
              <w:t>Kluwer</w:t>
            </w:r>
            <w:proofErr w:type="spellEnd"/>
            <w:r w:rsidRPr="00615F85">
              <w:rPr>
                <w:rFonts w:eastAsia="Times New Roman" w:cstheme="minorHAnsi"/>
                <w:lang w:eastAsia="sk-SK"/>
              </w:rPr>
              <w:t>). – ISBN 978-80-8168-573-6. – ISBN (elektronické) 978-80-8168-574-3, s. 1047-1492 [tlačená forma]</w:t>
            </w:r>
          </w:p>
        </w:tc>
      </w:tr>
      <w:tr w:rsidRPr="00FF6B5A" w:rsidR="00FF6B5A" w:rsidTr="1210A738" w14:paraId="7043AB98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2B970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8A7442" w14:paraId="1F2B6CC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6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OCA9.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tcMar/>
          </w:tcPr>
          <w:p w:rsidRPr="00CB01FF" w:rsidR="00FF6B5A" w:rsidP="00FE27EC" w:rsidRDefault="00346C92" w14:paraId="5FF90BB9" w14:textId="7D1C4F86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346C92">
              <w:rPr>
                <w:rFonts w:cstheme="minorHAnsi"/>
              </w:rPr>
              <w:t>https://app.crepc.sk/?fn=detailBiblioForm&amp;sid=7A2AD5D44FD2CFE1319C6E7B54</w:t>
            </w:r>
          </w:p>
        </w:tc>
      </w:tr>
      <w:tr w:rsidRPr="00FF6B5A" w:rsidR="00C86832" w:rsidTr="1210A738" w14:paraId="21498929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C86832" w:rsidP="00FF6B5A" w:rsidRDefault="00C86832" w14:paraId="6F1ADB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</w:tcPr>
          <w:p w:rsidR="00C86832" w:rsidP="00532FE9" w:rsidRDefault="00C86832" w14:paraId="74742115" w14:textId="77777777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/>
          </w:tcPr>
          <w:p w:rsidRPr="00CB01FF" w:rsidR="00C86832" w:rsidP="00FE27EC" w:rsidRDefault="00C86832" w14:paraId="26262AED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1210A738" w14:paraId="6BA9D2A2" w14:textId="77777777">
        <w:trPr>
          <w:trHeight w:val="10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D1FB3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cMar/>
            <w:textDirection w:val="btLr"/>
            <w:vAlign w:val="center"/>
            <w:hideMark/>
          </w:tcPr>
          <w:p w:rsidRPr="00FF6B5A" w:rsidR="00FF6B5A" w:rsidP="00FF6B5A" w:rsidRDefault="00FF6B5A" w14:paraId="6429918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532FE9" w:rsidRDefault="008A7442" w14:paraId="29C19DA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7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OCA10.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inom verejne prístupnom registri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publicly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accessible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register,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catalogue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outputs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03C9B17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177798" w:rsidTr="1210A738" w14:paraId="51BFBC80" w14:textId="77777777">
        <w:trPr>
          <w:trHeight w:val="15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177798" w:rsidP="00177798" w:rsidRDefault="00177798" w14:paraId="6D0277B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177798" w:rsidP="00177798" w:rsidRDefault="00177798" w14:paraId="12B8038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FF6B5A" w:rsidR="00177798" w:rsidP="00177798" w:rsidRDefault="00177798" w14:paraId="386CD7C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lastRenderedPageBreak/>
              <w:t xml:space="preserve">alebo katalógu výstupov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in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tcMar/>
          </w:tcPr>
          <w:p w:rsidRPr="00CB01FF" w:rsidR="00177798" w:rsidP="00177798" w:rsidRDefault="00177798" w14:paraId="429E661A" w14:textId="5F452BE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177798" w:rsidTr="1210A738" w14:paraId="1DD2128C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177798" w:rsidP="00177798" w:rsidRDefault="00177798" w14:paraId="43AF582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177798" w:rsidP="00177798" w:rsidRDefault="00177798" w14:paraId="38D5F8A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CB01FF" w:rsidR="00177798" w:rsidP="00177798" w:rsidRDefault="008A7442" w14:paraId="03B2189C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Expl.OCA12!A1" r:id="rId18"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OCA12. Typ výstupu (ak nie je výstup registrovaný v CREPČ alebo CREUČ) / Type of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output (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if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is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not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registered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in CRPA or CRAA)</w:t>
              </w:r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tcMar/>
          </w:tcPr>
          <w:p w:rsidRPr="00CB01FF" w:rsidR="00177798" w:rsidP="00177798" w:rsidRDefault="00177798" w14:paraId="6266D3A3" w14:textId="0E755B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sk-SK"/>
              </w:rPr>
            </w:pPr>
          </w:p>
        </w:tc>
      </w:tr>
      <w:tr w:rsidRPr="00FF6B5A" w:rsidR="00177798" w:rsidTr="1210A738" w14:paraId="3994E767" w14:textId="77777777">
        <w:trPr>
          <w:trHeight w:val="11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177798" w:rsidP="00177798" w:rsidRDefault="00177798" w14:paraId="1F1E41C7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177798" w:rsidP="00177798" w:rsidRDefault="00177798" w14:paraId="66CE3C9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CB01FF" w:rsidR="00177798" w:rsidP="00177798" w:rsidRDefault="00177798" w14:paraId="10F864A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CB01FF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CB01FF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Hyperlink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webpage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where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full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documentation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, etc.)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177798" w:rsidP="00177798" w:rsidRDefault="00177798" w14:paraId="2438FED5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177798" w:rsidTr="1210A738" w14:paraId="49B38A92" w14:textId="77777777">
        <w:trPr>
          <w:trHeight w:val="7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177798" w:rsidP="00177798" w:rsidRDefault="00177798" w14:paraId="207E32D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177798" w:rsidP="00177798" w:rsidRDefault="00177798" w14:paraId="2470FC1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CB01FF" w:rsidR="00177798" w:rsidP="00177798" w:rsidRDefault="00177798" w14:paraId="1D8472C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OCA14. Charakteristika autorského vkladu /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author's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tcMar/>
          </w:tcPr>
          <w:p w:rsidRPr="00CB01FF" w:rsidR="00177798" w:rsidP="00177798" w:rsidRDefault="00177798" w14:paraId="7D33DD09" w14:textId="7BB1DE55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177798" w:rsidTr="1210A738" w14:paraId="270C6842" w14:textId="77777777">
        <w:trPr>
          <w:trHeight w:val="23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177798" w:rsidP="00177798" w:rsidRDefault="00177798" w14:paraId="07D7D6E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177798" w:rsidP="00177798" w:rsidRDefault="00177798" w14:paraId="7E5B7FC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CB01FF" w:rsidR="00177798" w:rsidP="00177798" w:rsidRDefault="008A7442" w14:paraId="1740FF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9"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OCA15. </w:t>
              </w:r>
              <w:r w:rsidRPr="00CB01FF" w:rsidR="00177798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. /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with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contextual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information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concerning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description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creative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process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and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content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lastRenderedPageBreak/>
                <w:t>research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t xml:space="preserve">, etc. </w:t>
              </w:r>
              <w:r w:rsidRPr="00CB01FF" w:rsidR="00177798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8"/>
              </w:r>
              <w:r w:rsidRPr="00CB01FF" w:rsidR="00177798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CB01FF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Pr="00CB01FF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br w:type="page"/>
              </w:r>
              <w:r w:rsidRPr="00CB01FF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anglickom jazyku /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CB01FF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CB01FF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English 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25E50" w:rsidR="00177798" w:rsidP="00177798" w:rsidRDefault="00177798" w14:paraId="6D13AE23" w14:textId="7728C216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</w:p>
        </w:tc>
      </w:tr>
      <w:tr w:rsidRPr="00FF6B5A" w:rsidR="00177798" w:rsidTr="1210A738" w14:paraId="0E3A4A1E" w14:textId="77777777">
        <w:trPr>
          <w:trHeight w:val="9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177798" w:rsidP="00177798" w:rsidRDefault="00177798" w14:paraId="2208630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177798" w:rsidP="00177798" w:rsidRDefault="008A7442" w14:paraId="36CCB09B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0">
              <w:r w:rsidRPr="00FF6B5A" w:rsidR="00177798">
                <w:rPr>
                  <w:rFonts w:ascii="Calibri" w:hAnsi="Calibri" w:eastAsia="Times New Roman" w:cs="Times New Roman"/>
                  <w:lang w:eastAsia="sk-SK"/>
                </w:rPr>
                <w:t xml:space="preserve">OCA16. </w:t>
              </w:r>
              <w:r w:rsidRPr="00422600" w:rsidR="00177798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v anglickom jazyku</w:t>
              </w:r>
              <w:r w:rsidRPr="00FF6B5A" w:rsidR="00177798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177798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FF6B5A" w:rsidR="00177798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177798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177798">
                <w:rPr>
                  <w:rFonts w:ascii="Calibri" w:hAnsi="Calibri" w:eastAsia="Times New Roman" w:cs="Times New Roman"/>
                  <w:lang w:eastAsia="sk-SK"/>
                </w:rPr>
                <w:t xml:space="preserve"> output in English </w:t>
              </w:r>
              <w:r w:rsidR="00177798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9"/>
              </w:r>
              <w:r w:rsidRPr="00FF6B5A" w:rsidR="00177798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FF6B5A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Pr="00FF6B5A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FF6B5A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FF6B5A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FF6B5A" w:rsidR="0017779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/>
          </w:tcPr>
          <w:p w:rsidRPr="00453E51" w:rsidR="00177798" w:rsidP="00177798" w:rsidRDefault="00783DD4" w14:paraId="45D4C299" w14:textId="6ADC8B9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highlight w:val="yellow"/>
                <w:lang w:eastAsia="sk-SK"/>
              </w:rPr>
            </w:pP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2E5D2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Extensive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Commentary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Joint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-Stock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Companies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contains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detailed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treatment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this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form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company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deals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with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theoretical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issues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as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well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as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practical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implications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provisions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Slovak Commercial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Code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relevant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EU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discursively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elaborated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authors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deal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with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different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views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issues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joint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stock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companies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presented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by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other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authors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or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open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case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present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their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own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proposals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solving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problems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regularly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offers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comparative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perspective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German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Austrian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Czech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783DD4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</w:p>
        </w:tc>
      </w:tr>
      <w:tr w:rsidRPr="00FF6B5A" w:rsidR="00177798" w:rsidTr="1210A738" w14:paraId="715A9106" w14:textId="77777777">
        <w:trPr>
          <w:trHeight w:val="8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177798" w:rsidP="00177798" w:rsidRDefault="00177798" w14:paraId="6D3A0EE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177798" w:rsidP="00177798" w:rsidRDefault="00177798" w14:paraId="675AA1F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 / List of maximum 5 most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="007E2D91" w:rsidP="00177798" w:rsidRDefault="00FB09BE" w14:paraId="0A72DF7C" w14:textId="74929FE4">
            <w:pPr>
              <w:spacing w:after="0" w:line="240" w:lineRule="auto"/>
              <w:rPr>
                <w:rStyle w:val="normaltextrun"/>
                <w:shd w:val="clear" w:color="auto" w:fill="FFFFFF"/>
              </w:rPr>
            </w:pPr>
            <w:r w:rsidR="00FB09BE">
              <w:rPr>
                <w:rStyle w:val="normaltextrun"/>
                <w:shd w:val="clear" w:color="auto" w:fill="FFFFFF"/>
              </w:rPr>
              <w:t>202</w:t>
            </w:r>
            <w:r w:rsidR="007E2D91">
              <w:rPr>
                <w:rStyle w:val="normaltextrun"/>
                <w:shd w:val="clear" w:color="auto" w:fill="FFFFFF"/>
              </w:rPr>
              <w:t>1</w:t>
            </w:r>
            <w:r w:rsidR="00FB09BE">
              <w:rPr>
                <w:rStyle w:val="normaltextrun"/>
                <w:shd w:val="clear" w:color="auto" w:fill="FFFFFF"/>
              </w:rPr>
              <w:t xml:space="preserve"> PATAKYOVÁ, M., ĎURICA, M., HUSÁR, J. a kol.: </w:t>
            </w:r>
            <w:r w:rsidRPr="0643CEBB" w:rsidR="00FB09BE">
              <w:rPr>
                <w:rStyle w:val="normaltextrun"/>
                <w:i w:val="1"/>
                <w:iCs w:val="1"/>
                <w:shd w:val="clear" w:color="auto" w:fill="FFFFFF"/>
              </w:rPr>
              <w:t>Aplikované právo obchodných spoločností a</w:t>
            </w:r>
            <w:r w:rsidRPr="0643CEBB" w:rsidR="00FB09BE">
              <w:rPr>
                <w:rStyle w:val="normaltextrun"/>
                <w:i w:val="1"/>
                <w:iCs w:val="1"/>
                <w:shd w:val="clear" w:color="auto" w:fill="FFFFFF"/>
              </w:rPr>
              <w:t> </w:t>
            </w:r>
            <w:r w:rsidRPr="0643CEBB" w:rsidR="00FB09BE">
              <w:rPr>
                <w:rStyle w:val="normaltextrun"/>
                <w:i w:val="1"/>
                <w:iCs w:val="1"/>
                <w:shd w:val="clear" w:color="auto" w:fill="FFFFFF"/>
              </w:rPr>
              <w:t>družstva</w:t>
            </w:r>
            <w:r w:rsidR="00FB09BE">
              <w:rPr>
                <w:rStyle w:val="normaltextrun"/>
                <w:shd w:val="clear" w:color="auto" w:fill="FFFFFF"/>
              </w:rPr>
              <w:t xml:space="preserve">. Bratislava : </w:t>
            </w:r>
            <w:proofErr w:type="spellStart"/>
            <w:r w:rsidR="00FB09BE">
              <w:rPr>
                <w:rStyle w:val="normaltextrun"/>
                <w:shd w:val="clear" w:color="auto" w:fill="FFFFFF"/>
              </w:rPr>
              <w:t>Wolters</w:t>
            </w:r>
            <w:proofErr w:type="spellEnd"/>
            <w:r w:rsidR="00FB09BE">
              <w:rPr>
                <w:rStyle w:val="normaltextrun"/>
                <w:shd w:val="clear" w:color="auto" w:fill="FFFFFF"/>
              </w:rPr>
              <w:t xml:space="preserve"> </w:t>
            </w:r>
            <w:proofErr w:type="spellStart"/>
            <w:r w:rsidR="00FB09BE">
              <w:rPr>
                <w:rStyle w:val="normaltextrun"/>
                <w:shd w:val="clear" w:color="auto" w:fill="FFFFFF"/>
              </w:rPr>
              <w:t>Kluwer</w:t>
            </w:r>
            <w:proofErr w:type="spellEnd"/>
            <w:r w:rsidR="00FB09BE">
              <w:rPr>
                <w:rStyle w:val="normaltextrun"/>
                <w:shd w:val="clear" w:color="auto" w:fill="FFFFFF"/>
              </w:rPr>
              <w:t xml:space="preserve">, 2021, s. </w:t>
            </w:r>
            <w:r w:rsidR="007E2D91">
              <w:rPr>
                <w:rStyle w:val="normaltextrun"/>
                <w:shd w:val="clear" w:color="auto" w:fill="FFFFFF"/>
              </w:rPr>
              <w:t>109, 120</w:t>
            </w:r>
          </w:p>
          <w:p w:rsidR="00671A99" w:rsidP="00177798" w:rsidRDefault="00671A99" w14:paraId="380CF1C7" w14:textId="6A126DEE">
            <w:pPr>
              <w:spacing w:after="0" w:line="240" w:lineRule="auto"/>
              <w:rPr>
                <w:rStyle w:val="normaltextrun"/>
                <w:shd w:val="clear" w:color="auto" w:fill="FFFFFF"/>
              </w:rPr>
            </w:pPr>
            <w:r w:rsidR="00671A99">
              <w:rPr>
                <w:rStyle w:val="normaltextrun"/>
                <w:shd w:val="clear" w:color="auto" w:fill="FFFFFF"/>
              </w:rPr>
              <w:t xml:space="preserve">2021 MAMOJKA, M. a kol. </w:t>
            </w:r>
            <w:r w:rsidRPr="0643CEBB" w:rsidR="00671A99">
              <w:rPr>
                <w:rStyle w:val="normaltextrun"/>
                <w:i w:val="1"/>
                <w:iCs w:val="1"/>
                <w:shd w:val="clear" w:color="auto" w:fill="FFFFFF"/>
              </w:rPr>
              <w:t xml:space="preserve">Obchodné právo I. Všeobecná časť, súťažné právo, právo obchodných </w:t>
            </w:r>
            <w:r w:rsidRPr="0643CEBB" w:rsidR="00671A99">
              <w:rPr>
                <w:rStyle w:val="normaltextrun"/>
                <w:i w:val="1"/>
                <w:iCs w:val="1"/>
                <w:shd w:val="clear" w:color="auto" w:fill="FFFFFF"/>
              </w:rPr>
              <w:t>spoločností</w:t>
            </w:r>
            <w:r w:rsidRPr="0643CEBB" w:rsidR="00671A99">
              <w:rPr>
                <w:rStyle w:val="normaltextrun"/>
                <w:i w:val="1"/>
                <w:iCs w:val="1"/>
                <w:shd w:val="clear" w:color="auto" w:fill="FFFFFF"/>
              </w:rPr>
              <w:t xml:space="preserve"> a družstva</w:t>
            </w:r>
            <w:r w:rsidR="00671A99">
              <w:rPr>
                <w:rStyle w:val="normaltextrun"/>
                <w:shd w:val="clear" w:color="auto" w:fill="FFFFFF"/>
              </w:rPr>
              <w:t xml:space="preserve">. Bratislava : C. H. </w:t>
            </w:r>
            <w:proofErr w:type="spellStart"/>
            <w:r w:rsidR="00671A99">
              <w:rPr>
                <w:rStyle w:val="normaltextrun"/>
                <w:shd w:val="clear" w:color="auto" w:fill="FFFFFF"/>
              </w:rPr>
              <w:t>Beck</w:t>
            </w:r>
            <w:proofErr w:type="spellEnd"/>
            <w:r w:rsidR="00671A99">
              <w:rPr>
                <w:rStyle w:val="normaltextrun"/>
                <w:shd w:val="clear" w:color="auto" w:fill="FFFFFF"/>
              </w:rPr>
              <w:t>, 2021, s. 599</w:t>
            </w:r>
          </w:p>
          <w:p w:rsidR="2D610100" w:rsidP="0643CEBB" w:rsidRDefault="2D610100" w14:paraId="55714708" w14:textId="5D3BF591">
            <w:pPr>
              <w:spacing w:after="0" w:line="240" w:lineRule="auto"/>
              <w:rPr>
                <w:rStyle w:val="normaltextrun"/>
              </w:rPr>
            </w:pPr>
            <w:r w:rsidRPr="0643CEBB" w:rsidR="2D610100">
              <w:rPr>
                <w:rStyle w:val="normaltextrun"/>
              </w:rPr>
              <w:t xml:space="preserve">2021 CUKEROVÁ, D.: </w:t>
            </w:r>
            <w:r w:rsidRPr="0643CEBB" w:rsidR="2D610100">
              <w:rPr>
                <w:rStyle w:val="normaltextrun"/>
                <w:i w:val="1"/>
                <w:iCs w:val="1"/>
              </w:rPr>
              <w:t>Odporovateľnosť právnych úkonov v obchodnom práve</w:t>
            </w:r>
            <w:r w:rsidRPr="0643CEBB" w:rsidR="2D610100">
              <w:rPr>
                <w:rStyle w:val="normaltextrun"/>
              </w:rPr>
              <w:t xml:space="preserve">. Bratislava: </w:t>
            </w:r>
            <w:proofErr w:type="spellStart"/>
            <w:r w:rsidRPr="0643CEBB" w:rsidR="2D610100">
              <w:rPr>
                <w:rStyle w:val="normaltextrun"/>
              </w:rPr>
              <w:t>C.H.Beck</w:t>
            </w:r>
            <w:proofErr w:type="spellEnd"/>
            <w:r w:rsidRPr="0643CEBB" w:rsidR="2D610100">
              <w:rPr>
                <w:rStyle w:val="normaltextrun"/>
              </w:rPr>
              <w:t>, 2021 s. 117, 188</w:t>
            </w:r>
          </w:p>
          <w:p w:rsidR="007E2D91" w:rsidP="00177798" w:rsidRDefault="007E2D91" w14:paraId="194F7C0A" w14:textId="31CE6E10">
            <w:pPr>
              <w:spacing w:after="0" w:line="240" w:lineRule="auto"/>
            </w:pPr>
            <w:r>
              <w:rPr>
                <w:rStyle w:val="normaltextrun"/>
                <w:shd w:val="clear" w:color="auto" w:fill="FFFFFF"/>
              </w:rPr>
              <w:t xml:space="preserve">2020 </w:t>
            </w:r>
            <w:r w:rsidRPr="007E2D91">
              <w:rPr>
                <w:caps/>
              </w:rPr>
              <w:t>Grambličková</w:t>
            </w:r>
            <w:r>
              <w:t xml:space="preserve">, B., </w:t>
            </w:r>
            <w:r w:rsidRPr="007E2D91">
              <w:rPr>
                <w:caps/>
              </w:rPr>
              <w:t>Patakyová</w:t>
            </w:r>
            <w:r>
              <w:t xml:space="preserve">, M. </w:t>
            </w:r>
            <w:proofErr w:type="spellStart"/>
            <w:r>
              <w:t>Mandatory</w:t>
            </w:r>
            <w:proofErr w:type="spellEnd"/>
            <w:r>
              <w:t xml:space="preserve"> and Default </w:t>
            </w:r>
            <w:proofErr w:type="spellStart"/>
            <w:r>
              <w:t>Regulation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Slovak Commercial </w:t>
            </w:r>
            <w:proofErr w:type="spellStart"/>
            <w:r>
              <w:t>Law</w:t>
            </w:r>
            <w:proofErr w:type="spellEnd"/>
            <w:r>
              <w:t xml:space="preserve">. </w:t>
            </w:r>
            <w:r>
              <w:rPr>
                <w:i/>
                <w:iCs/>
              </w:rPr>
              <w:t xml:space="preserve">Bratislava </w:t>
            </w:r>
            <w:proofErr w:type="spellStart"/>
            <w:r>
              <w:rPr>
                <w:i/>
                <w:iCs/>
              </w:rPr>
              <w:t>Law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Review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4</w:t>
            </w:r>
            <w:r>
              <w:t>(1), 93–112.</w:t>
            </w:r>
          </w:p>
          <w:p w:rsidR="00177798" w:rsidP="0643CEBB" w:rsidRDefault="00396541" w14:paraId="16F4BDF8" w14:textId="28ECB29E">
            <w:pPr>
              <w:spacing w:after="0" w:line="240" w:lineRule="auto"/>
              <w:rPr>
                <w:rFonts w:eastAsia="Times New Roman" w:cs="Calibri" w:cstheme="minorAscii"/>
                <w:color w:val="000000"/>
                <w:lang w:eastAsia="sk-SK"/>
              </w:rPr>
            </w:pPr>
            <w:r w:rsidRPr="0643CEBB" w:rsidR="00396541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 xml:space="preserve">2018 MRÁZOVÁ, Ž. </w:t>
            </w:r>
            <w:r w:rsidRPr="0643CEBB" w:rsidR="00396541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A</w:t>
            </w:r>
            <w:r w:rsidRPr="0643CEBB" w:rsidR="00671A99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ltern</w:t>
            </w:r>
            <w:r w:rsidRPr="0643CEBB" w:rsidR="5B300A4A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a</w:t>
            </w:r>
            <w:r w:rsidRPr="0643CEBB" w:rsidR="00671A99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tívne</w:t>
            </w:r>
            <w:r w:rsidRPr="0643CEBB" w:rsidR="00671A99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 xml:space="preserve"> riešenia pre zachovanie kontinuity fungovania orgánov v kapitálových obchodných spoločnostiach</w:t>
            </w:r>
            <w:r w:rsidRPr="0643CEBB" w:rsidR="00396541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. In VOJČÍK, P. et al. (</w:t>
            </w:r>
            <w:proofErr w:type="spellStart"/>
            <w:r w:rsidRPr="0643CEBB" w:rsidR="00396541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eds</w:t>
            </w:r>
            <w:proofErr w:type="spellEnd"/>
            <w:r w:rsidRPr="0643CEBB" w:rsidR="00396541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 xml:space="preserve">.): </w:t>
            </w:r>
            <w:r w:rsidRPr="0643CEBB" w:rsidR="00396541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Košické dni súkromného práva</w:t>
            </w:r>
            <w:r w:rsidRPr="0643CEBB" w:rsidR="00955186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II</w:t>
            </w:r>
            <w:r w:rsidRPr="0643CEBB" w:rsidR="00396541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. Košice: UPJŠ, 2018 s. 167.</w:t>
            </w:r>
          </w:p>
          <w:p w:rsidRPr="00CB01FF" w:rsidR="00396541" w:rsidP="00396541" w:rsidRDefault="00396541" w14:paraId="329AA28C" w14:textId="7513E2E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177798" w:rsidTr="1210A738" w14:paraId="3B46A17F" w14:textId="77777777">
        <w:trPr>
          <w:trHeight w:val="117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177798" w:rsidP="00177798" w:rsidRDefault="00177798" w14:paraId="3A7A8DE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177798" w:rsidP="00177798" w:rsidRDefault="00177798" w14:paraId="0AA311D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socio-economic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177798" w:rsidP="0643CEBB" w:rsidRDefault="00177798" w14:paraId="6038C017" w14:textId="382D0B5F">
            <w:pPr>
              <w:spacing w:after="0" w:line="240" w:lineRule="auto"/>
              <w:rPr>
                <w:rFonts w:eastAsia="Times New Roman" w:cs="Calibri" w:cstheme="minorAscii"/>
                <w:color w:val="000000"/>
                <w:lang w:eastAsia="sk-SK"/>
              </w:rPr>
            </w:pPr>
            <w:r w:rsidRPr="0643CEBB" w:rsidR="00177798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 xml:space="preserve">Publikácia má výrazný vplyv na vedu </w:t>
            </w:r>
            <w:r w:rsidRPr="0643CEBB" w:rsidR="00177798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 xml:space="preserve">práva obchodných spoločností, čo potvrdzuje </w:t>
            </w:r>
            <w:r w:rsidRPr="0643CEBB" w:rsidR="5C90BCE6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 xml:space="preserve">aj </w:t>
            </w:r>
            <w:r w:rsidRPr="0643CEBB" w:rsidR="00177798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 xml:space="preserve">jej značná </w:t>
            </w:r>
            <w:proofErr w:type="spellStart"/>
            <w:r w:rsidRPr="0643CEBB" w:rsidR="00177798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citovanosť</w:t>
            </w:r>
            <w:proofErr w:type="spellEnd"/>
            <w:r w:rsidRPr="0643CEBB" w:rsidR="00177798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.</w:t>
            </w:r>
            <w:r w:rsidRPr="0643CEBB" w:rsidR="55FAF5EA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 xml:space="preserve"> Ide o referenčný zdroj poznania práva akciových spoločností</w:t>
            </w:r>
            <w:r w:rsidRPr="0643CEBB" w:rsidR="21263F74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>, ktorý je citovaný v drvivej väčšine výstupov týkajúcich sa akciového práva. Navyše je spracovaný</w:t>
            </w:r>
            <w:r w:rsidRPr="0643CEBB" w:rsidR="55FAF5EA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 xml:space="preserve"> v poprednom komentári</w:t>
            </w:r>
            <w:r w:rsidRPr="0643CEBB" w:rsidR="2A34D25B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 xml:space="preserve"> so zásadným dopadom aj na aplikačnú prax, či už súdnu alebo korporačnú</w:t>
            </w:r>
            <w:r w:rsidRPr="0643CEBB" w:rsidR="55FAF5EA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 xml:space="preserve">. </w:t>
            </w:r>
            <w:r w:rsidRPr="0643CEBB" w:rsidR="00177798">
              <w:rPr>
                <w:rFonts w:eastAsia="Times New Roman" w:cs="Calibri" w:cstheme="minorAscii"/>
                <w:color w:val="000000" w:themeColor="text1" w:themeTint="FF" w:themeShade="FF"/>
                <w:lang w:eastAsia="sk-SK"/>
              </w:rPr>
              <w:t xml:space="preserve"> </w:t>
            </w:r>
          </w:p>
          <w:p w:rsidRPr="00CB01FF" w:rsidR="00177798" w:rsidP="00177798" w:rsidRDefault="00177798" w14:paraId="7A6898CA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:rsidRPr="00CB01FF" w:rsidR="00177798" w:rsidP="0643CEBB" w:rsidRDefault="00177798" w14:paraId="2CF12C8B" w14:textId="288FCD64">
            <w:pPr>
              <w:spacing w:after="0" w:line="240" w:lineRule="auto"/>
              <w:rPr>
                <w:rFonts w:eastAsia="Times New Roman" w:cs="Calibri" w:cstheme="minorAscii"/>
                <w:i w:val="1"/>
                <w:iCs w:val="1"/>
                <w:color w:val="000000"/>
                <w:lang w:eastAsia="sk-SK"/>
              </w:rPr>
            </w:pPr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The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publication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has had a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significant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impact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on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corporate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law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scholarship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, as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evidenced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by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its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substantial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citation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record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.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It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is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a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reference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source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for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the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knowledge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of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company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law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and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is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cited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in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the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vast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majority of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publications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on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company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law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.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Moreover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,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it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is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treated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in a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leading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commentary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with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a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substantial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impact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on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application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practice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,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both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judicial</w:t>
            </w:r>
            <w:proofErr w:type="spellEnd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 xml:space="preserve"> and </w:t>
            </w:r>
            <w:proofErr w:type="spellStart"/>
            <w:r w:rsidRPr="0643CEBB" w:rsidR="71679CAF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corporate</w:t>
            </w:r>
            <w:proofErr w:type="spellEnd"/>
            <w:r w:rsidRPr="0643CEBB" w:rsidR="65AD88E7">
              <w:rPr>
                <w:rFonts w:eastAsia="Times New Roman" w:cs="Calibri" w:cstheme="minorAscii"/>
                <w:i w:val="1"/>
                <w:iCs w:val="1"/>
                <w:color w:val="000000" w:themeColor="text1" w:themeTint="FF" w:themeShade="FF"/>
                <w:lang w:eastAsia="sk-SK"/>
              </w:rPr>
              <w:t>.</w:t>
            </w:r>
          </w:p>
        </w:tc>
      </w:tr>
      <w:tr w:rsidRPr="00FF6B5A" w:rsidR="00177798" w:rsidTr="1210A738" w14:paraId="6B2AB384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177798" w:rsidP="00177798" w:rsidRDefault="00177798" w14:paraId="1FAE46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177798" w:rsidP="00177798" w:rsidRDefault="00177798" w14:paraId="7BC6F94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lastRenderedPageBreak/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and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177798" w:rsidP="00177798" w:rsidRDefault="00177798" w14:paraId="0013BEE1" w14:textId="44C4B8D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lastRenderedPageBreak/>
              <w:t>Publikácia sa využíva vo výučbe v</w:t>
            </w:r>
            <w:r w:rsidR="004E54AC">
              <w:rPr>
                <w:rFonts w:eastAsia="Times New Roman" w:cstheme="minorHAnsi"/>
                <w:color w:val="000000"/>
                <w:lang w:eastAsia="sk-SK"/>
              </w:rPr>
              <w:t xml:space="preserve"> druhom a 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treťom 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>stupni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 štúdia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>, pri štúdiu ob</w:t>
            </w:r>
            <w:r>
              <w:rPr>
                <w:rFonts w:eastAsia="Times New Roman" w:cstheme="minorHAnsi"/>
                <w:color w:val="000000"/>
                <w:lang w:eastAsia="sk-SK"/>
              </w:rPr>
              <w:t>chodného práva, práva obchodných spoločností a právnických osôb súkromného práva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 xml:space="preserve">. </w:t>
            </w:r>
          </w:p>
          <w:p w:rsidRPr="00CB01FF" w:rsidR="00177798" w:rsidP="00177798" w:rsidRDefault="00177798" w14:paraId="0D58BEEB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:rsidRPr="00CB01FF" w:rsidR="00177798" w:rsidP="00177798" w:rsidRDefault="00177798" w14:paraId="1B56C75B" w14:textId="205E372B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lastRenderedPageBreak/>
              <w:t>The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used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teaching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second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third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level, in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study of civil </w:t>
            </w:r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and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corporate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of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persons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private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</w:p>
        </w:tc>
      </w:tr>
      <w:tr w:rsidRPr="00FF6B5A" w:rsidR="00177798" w:rsidTr="1210A738" w14:paraId="5D0976C9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177798" w:rsidP="00177798" w:rsidRDefault="00177798" w14:paraId="6035B76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177798" w:rsidP="00177798" w:rsidRDefault="00177798" w14:paraId="07C9CC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177798" w:rsidP="00177798" w:rsidRDefault="00177798" w14:paraId="63B15BA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177798" w:rsidP="00177798" w:rsidRDefault="00177798" w14:paraId="26170A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</w:tbl>
    <w:p w:rsidR="003C7698" w:rsidP="00CB01FF" w:rsidRDefault="003C7698" w14:paraId="4B61A49D" w14:textId="27FEC052"/>
    <w:sectPr w:rsidR="003C7698" w:rsidSect="008E210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orient="portrait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7442" w:rsidP="00816E73" w:rsidRDefault="008A7442" w14:paraId="0D7755B1" w14:textId="77777777">
      <w:pPr>
        <w:spacing w:after="0" w:line="240" w:lineRule="auto"/>
      </w:pPr>
      <w:r>
        <w:separator/>
      </w:r>
    </w:p>
  </w:endnote>
  <w:endnote w:type="continuationSeparator" w:id="0">
    <w:p w:rsidR="008A7442" w:rsidP="00816E73" w:rsidRDefault="008A7442" w14:paraId="61F71A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153A7713" w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768" w:rsidRDefault="00A23768" w14:paraId="601CF9F0" w14:textId="77777777">
    <w:pPr>
      <w:pStyle w:val="Pta"/>
    </w:pPr>
    <w:r w:rsidRPr="00A23768">
      <w:t>T_Z_VTCAj_1/ 2020</w:t>
    </w:r>
  </w:p>
  <w:p w:rsidR="00A23768" w:rsidRDefault="00A23768" w14:paraId="52AD5802" w14:textId="777777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A2133F8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7442" w:rsidP="00816E73" w:rsidRDefault="008A7442" w14:paraId="63AEE12F" w14:textId="77777777">
      <w:pPr>
        <w:spacing w:after="0" w:line="240" w:lineRule="auto"/>
      </w:pPr>
      <w:r>
        <w:separator/>
      </w:r>
    </w:p>
  </w:footnote>
  <w:footnote w:type="continuationSeparator" w:id="0">
    <w:p w:rsidR="008A7442" w:rsidP="00816E73" w:rsidRDefault="008A7442" w14:paraId="2A05A21F" w14:textId="77777777">
      <w:pPr>
        <w:spacing w:after="0" w:line="240" w:lineRule="auto"/>
      </w:pPr>
      <w:r>
        <w:continuationSeparator/>
      </w:r>
    </w:p>
  </w:footnote>
  <w:footnote w:id="1">
    <w:p w:rsidRPr="001F26CD" w:rsidR="004E4845" w:rsidP="008E2108" w:rsidRDefault="004E4845" w14:paraId="2CD787C4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2">
    <w:p w:rsidRPr="001F26CD" w:rsidR="004E4845" w:rsidP="008E2108" w:rsidRDefault="004E4845" w14:paraId="63803475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Art. 20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3">
    <w:p w:rsidRPr="001F26CD" w:rsidR="004E4845" w:rsidP="008E2108" w:rsidRDefault="004E4845" w14:paraId="48694691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Register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:rsidRPr="001F26CD" w:rsidR="004E4845" w:rsidP="008E2108" w:rsidRDefault="004E4845" w14:paraId="09C50F4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br/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type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5">
    <w:p w:rsidRPr="001F26CD" w:rsidR="00532FE9" w:rsidP="008E2108" w:rsidRDefault="00532FE9" w14:paraId="67E6FDA3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ID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6">
    <w:p w:rsidRPr="001F26CD" w:rsidR="00532FE9" w:rsidP="008E2108" w:rsidRDefault="00532FE9" w14:paraId="239D4BEE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at https://cms.crepc.sk/,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7">
    <w:p w:rsidRPr="001F26CD" w:rsidR="00532FE9" w:rsidP="008E2108" w:rsidRDefault="00532FE9" w14:paraId="6476AAA6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8">
    <w:p w:rsidRPr="001F26CD" w:rsidR="00177798" w:rsidP="008E2108" w:rsidRDefault="00177798" w14:paraId="377D7D3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-text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9">
    <w:p w:rsidRPr="001F26CD" w:rsidR="00177798" w:rsidP="008E2108" w:rsidRDefault="00177798" w14:paraId="6438A74D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English.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in English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6F4A3FB3" w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849EB" w:rsidP="00B15040" w:rsidRDefault="00B15040" w14:paraId="13BC520C" w14:textId="77777777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A3E7C4A" wp14:editId="1A32E067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:rsidR="006849EB" w:rsidRDefault="006849EB" w14:paraId="3AA45141" w14:textId="777777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0CFF920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9F9"/>
    <w:multiLevelType w:val="hybridMultilevel"/>
    <w:tmpl w:val="3C04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BD"/>
    <w:rsid w:val="00011981"/>
    <w:rsid w:val="0004681A"/>
    <w:rsid w:val="00062C05"/>
    <w:rsid w:val="00073EC9"/>
    <w:rsid w:val="0008088C"/>
    <w:rsid w:val="00087B3E"/>
    <w:rsid w:val="000C473D"/>
    <w:rsid w:val="000D326C"/>
    <w:rsid w:val="00102D82"/>
    <w:rsid w:val="00112F47"/>
    <w:rsid w:val="00177798"/>
    <w:rsid w:val="001A150C"/>
    <w:rsid w:val="001A42DD"/>
    <w:rsid w:val="001B1E8C"/>
    <w:rsid w:val="001E5182"/>
    <w:rsid w:val="001F26CD"/>
    <w:rsid w:val="0022263F"/>
    <w:rsid w:val="00222794"/>
    <w:rsid w:val="002345F4"/>
    <w:rsid w:val="00246998"/>
    <w:rsid w:val="00255867"/>
    <w:rsid w:val="002E5D24"/>
    <w:rsid w:val="00326AFB"/>
    <w:rsid w:val="00346C92"/>
    <w:rsid w:val="00377CBA"/>
    <w:rsid w:val="00396541"/>
    <w:rsid w:val="003C7698"/>
    <w:rsid w:val="00402A7B"/>
    <w:rsid w:val="004038BC"/>
    <w:rsid w:val="00422600"/>
    <w:rsid w:val="00433097"/>
    <w:rsid w:val="00453E51"/>
    <w:rsid w:val="004609CA"/>
    <w:rsid w:val="0047355F"/>
    <w:rsid w:val="004A4A06"/>
    <w:rsid w:val="004C347F"/>
    <w:rsid w:val="004D5CBD"/>
    <w:rsid w:val="004E364A"/>
    <w:rsid w:val="004E4845"/>
    <w:rsid w:val="004E54AC"/>
    <w:rsid w:val="004F6F4A"/>
    <w:rsid w:val="00502F15"/>
    <w:rsid w:val="00511DCE"/>
    <w:rsid w:val="00532FE9"/>
    <w:rsid w:val="00546BD2"/>
    <w:rsid w:val="00555FFD"/>
    <w:rsid w:val="005622F0"/>
    <w:rsid w:val="00572798"/>
    <w:rsid w:val="005B4A19"/>
    <w:rsid w:val="0061127F"/>
    <w:rsid w:val="00615BB4"/>
    <w:rsid w:val="0066074D"/>
    <w:rsid w:val="00671A99"/>
    <w:rsid w:val="00675F63"/>
    <w:rsid w:val="006849EB"/>
    <w:rsid w:val="00783DD4"/>
    <w:rsid w:val="007E2D91"/>
    <w:rsid w:val="008062B7"/>
    <w:rsid w:val="00816E73"/>
    <w:rsid w:val="00851A01"/>
    <w:rsid w:val="00852916"/>
    <w:rsid w:val="00852CC7"/>
    <w:rsid w:val="008A692A"/>
    <w:rsid w:val="008A7442"/>
    <w:rsid w:val="008B78D7"/>
    <w:rsid w:val="008E2108"/>
    <w:rsid w:val="00942518"/>
    <w:rsid w:val="009547F9"/>
    <w:rsid w:val="00955186"/>
    <w:rsid w:val="00975300"/>
    <w:rsid w:val="00980601"/>
    <w:rsid w:val="00996838"/>
    <w:rsid w:val="00996AC9"/>
    <w:rsid w:val="009B1D30"/>
    <w:rsid w:val="009B6DDF"/>
    <w:rsid w:val="009C64D6"/>
    <w:rsid w:val="00A23768"/>
    <w:rsid w:val="00A25FD6"/>
    <w:rsid w:val="00A455BA"/>
    <w:rsid w:val="00AB3D4A"/>
    <w:rsid w:val="00AE36B5"/>
    <w:rsid w:val="00B15040"/>
    <w:rsid w:val="00B22EA0"/>
    <w:rsid w:val="00BA1526"/>
    <w:rsid w:val="00C01D1D"/>
    <w:rsid w:val="00C029D7"/>
    <w:rsid w:val="00C25E50"/>
    <w:rsid w:val="00C40D4D"/>
    <w:rsid w:val="00C63E2F"/>
    <w:rsid w:val="00C86832"/>
    <w:rsid w:val="00CB01FF"/>
    <w:rsid w:val="00CE5D14"/>
    <w:rsid w:val="00D423E1"/>
    <w:rsid w:val="00D64B7C"/>
    <w:rsid w:val="00D733AB"/>
    <w:rsid w:val="00DB2771"/>
    <w:rsid w:val="00DF18D4"/>
    <w:rsid w:val="00DF77E6"/>
    <w:rsid w:val="00E55886"/>
    <w:rsid w:val="00E620D5"/>
    <w:rsid w:val="00E835FB"/>
    <w:rsid w:val="00EA434E"/>
    <w:rsid w:val="00EC403D"/>
    <w:rsid w:val="00F0362C"/>
    <w:rsid w:val="00F40711"/>
    <w:rsid w:val="00F40F87"/>
    <w:rsid w:val="00F4411C"/>
    <w:rsid w:val="00F722C9"/>
    <w:rsid w:val="00F83BCB"/>
    <w:rsid w:val="00F92527"/>
    <w:rsid w:val="00FB09BE"/>
    <w:rsid w:val="00FC5E34"/>
    <w:rsid w:val="00FE27EC"/>
    <w:rsid w:val="00FF4276"/>
    <w:rsid w:val="00FF6B5A"/>
    <w:rsid w:val="0643CEBB"/>
    <w:rsid w:val="1210A738"/>
    <w:rsid w:val="12715AB0"/>
    <w:rsid w:val="1A7C6C95"/>
    <w:rsid w:val="1F36B55B"/>
    <w:rsid w:val="21263F74"/>
    <w:rsid w:val="2A34D25B"/>
    <w:rsid w:val="2D610100"/>
    <w:rsid w:val="30409C18"/>
    <w:rsid w:val="55FAF5EA"/>
    <w:rsid w:val="5B300A4A"/>
    <w:rsid w:val="5C90BCE6"/>
    <w:rsid w:val="5FC9BF31"/>
    <w:rsid w:val="65AD88E7"/>
    <w:rsid w:val="665B93A0"/>
    <w:rsid w:val="67BBA8B9"/>
    <w:rsid w:val="71679CAF"/>
    <w:rsid w:val="7BFD3038"/>
    <w:rsid w:val="7D529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55338"/>
  <w15:docId w15:val="{EB62095B-05E5-40B4-89EC-704BB8FCB2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Vrazn">
    <w:name w:val="Strong"/>
    <w:basedOn w:val="Predvolenpsmoodseku"/>
    <w:uiPriority w:val="22"/>
    <w:qFormat/>
    <w:rsid w:val="00FE27EC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3C769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C7698"/>
    <w:pPr>
      <w:ind w:left="720"/>
      <w:contextualSpacing/>
    </w:pPr>
  </w:style>
  <w:style w:type="paragraph" w:styleId="paragraph" w:customStyle="1">
    <w:name w:val="paragraph"/>
    <w:basedOn w:val="Normlny"/>
    <w:rsid w:val="00B22E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B22EA0"/>
  </w:style>
  <w:style w:type="character" w:styleId="spellingerror" w:customStyle="1">
    <w:name w:val="spellingerror"/>
    <w:basedOn w:val="Predvolenpsmoodseku"/>
    <w:rsid w:val="00B22EA0"/>
  </w:style>
  <w:style w:type="character" w:styleId="eop" w:customStyle="1">
    <w:name w:val="eop"/>
    <w:basedOn w:val="Predvolenpsmoodseku"/>
    <w:rsid w:val="00B22EA0"/>
  </w:style>
  <w:style w:type="character" w:styleId="authorname" w:customStyle="1">
    <w:name w:val="author_name"/>
    <w:basedOn w:val="Predvolenpsmoodseku"/>
    <w:rsid w:val="004A4A06"/>
  </w:style>
  <w:style w:type="character" w:styleId="bcx2" w:customStyle="1">
    <w:name w:val="bcx2"/>
    <w:basedOn w:val="Predvolenpsmoodseku"/>
    <w:rsid w:val="00402A7B"/>
  </w:style>
  <w:style w:type="character" w:styleId="scxw70156145" w:customStyle="1">
    <w:name w:val="scxw70156145"/>
    <w:basedOn w:val="Predvolenpsmoodseku"/>
    <w:rsid w:val="00F0362C"/>
  </w:style>
  <w:style w:type="character" w:styleId="scxw128497460" w:customStyle="1">
    <w:name w:val="scxw128497460"/>
    <w:basedOn w:val="Predvolenpsmoodseku"/>
    <w:rsid w:val="00E5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8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3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8" /><Relationship Type="http://schemas.openxmlformats.org/officeDocument/2006/relationships/footer" Target="footer3.xml" Id="rId26" /><Relationship Type="http://schemas.openxmlformats.org/officeDocument/2006/relationships/styles" Target="styles.xml" Id="rId3" /><Relationship Type="http://schemas.openxmlformats.org/officeDocument/2006/relationships/header" Target="header1.xml" Id="rId21" /><Relationship Type="http://schemas.openxmlformats.org/officeDocument/2006/relationships/endnotes" Target="endnotes.xml" Id="rId7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7" /><Relationship Type="http://schemas.openxmlformats.org/officeDocument/2006/relationships/header" Target="header3.xml" Id="rId25" /><Relationship Type="http://schemas.openxmlformats.org/officeDocument/2006/relationships/numbering" Target="numbering.xml" Id="rId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0" /><Relationship Type="http://schemas.openxmlformats.org/officeDocument/2006/relationships/customXml" Target="../customXml/item2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1" /><Relationship Type="http://schemas.openxmlformats.org/officeDocument/2006/relationships/footer" Target="footer2.xml" Id="rId24" /><Relationship Type="http://schemas.openxmlformats.org/officeDocument/2006/relationships/webSettings" Target="webSettings.xml" Id="rId5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5" /><Relationship Type="http://schemas.openxmlformats.org/officeDocument/2006/relationships/footer" Target="footer1.xml" Id="rId23" /><Relationship Type="http://schemas.openxmlformats.org/officeDocument/2006/relationships/theme" Target="theme/theme1.xml" Id="rId28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0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9" /><Relationship Type="http://schemas.openxmlformats.org/officeDocument/2006/relationships/customXml" Target="../customXml/item4.xml" Id="rId31" /><Relationship Type="http://schemas.openxmlformats.org/officeDocument/2006/relationships/settings" Target="settings.xml" Id="rId4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9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4" /><Relationship Type="http://schemas.openxmlformats.org/officeDocument/2006/relationships/header" Target="header2.xml" Id="rId22" /><Relationship Type="http://schemas.openxmlformats.org/officeDocument/2006/relationships/fontTable" Target="fontTable.xml" Id="rId27" /><Relationship Type="http://schemas.openxmlformats.org/officeDocument/2006/relationships/customXml" Target="../customXml/item3.xml" Id="rId3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8DACC-4CA2-492D-8A72-C9AC36C01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248AEF-E526-4462-A075-76DBA34C3BBE}"/>
</file>

<file path=customXml/itemProps3.xml><?xml version="1.0" encoding="utf-8"?>
<ds:datastoreItem xmlns:ds="http://schemas.openxmlformats.org/officeDocument/2006/customXml" ds:itemID="{1BAB8DF2-17BE-4847-A3F6-AE2DD9FF4CA5}"/>
</file>

<file path=customXml/itemProps4.xml><?xml version="1.0" encoding="utf-8"?>
<ds:datastoreItem xmlns:ds="http://schemas.openxmlformats.org/officeDocument/2006/customXml" ds:itemID="{C8BDA2BE-5FCD-45E5-AC3B-E64DB77BE1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Trnavska univerzita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Csach Kristián</cp:lastModifiedBy>
  <cp:revision>17</cp:revision>
  <dcterms:created xsi:type="dcterms:W3CDTF">2022-01-17T21:22:00Z</dcterms:created>
  <dcterms:modified xsi:type="dcterms:W3CDTF">2022-01-27T17:22:57Z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74100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