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4"/>
        <w:gridCol w:w="1691"/>
        <w:gridCol w:w="7714"/>
      </w:tblGrid>
      <w:tr w:rsidR="00FF6B5A" w:rsidRPr="00FF6B5A" w14:paraId="7999C3D7" w14:textId="77777777" w:rsidTr="00C86832">
        <w:trPr>
          <w:trHeight w:val="204"/>
        </w:trPr>
        <w:tc>
          <w:tcPr>
            <w:tcW w:w="0" w:type="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96117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96117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96117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96117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96117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hideMark/>
          </w:tcPr>
          <w:p w14:paraId="6BE7A780" w14:textId="205DBD16" w:rsidR="00FF6B5A" w:rsidRPr="004358A8" w:rsidRDefault="00961176"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961176"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hideMark/>
          </w:tcPr>
          <w:p w14:paraId="47D72EC0" w14:textId="1DE12D1C" w:rsidR="00FF6B5A" w:rsidRPr="00FF6B5A" w:rsidRDefault="00422600" w:rsidP="006E5B37">
            <w:pPr>
              <w:spacing w:after="0" w:line="240" w:lineRule="auto"/>
              <w:rPr>
                <w:rFonts w:ascii="Calibri" w:eastAsia="Times New Roman" w:hAnsi="Calibri" w:cs="Times New Roman"/>
                <w:color w:val="000000"/>
                <w:lang w:eastAsia="sk-SK"/>
              </w:rPr>
            </w:pPr>
            <w:r>
              <w:t>Študijný program</w:t>
            </w:r>
            <w:r w:rsidR="00961176">
              <w:t xml:space="preserve"> Pracovné </w:t>
            </w:r>
            <w:r w:rsidR="006E5B37">
              <w:t>právo</w:t>
            </w:r>
            <w:r>
              <w:t>, 3. stupeň</w:t>
            </w:r>
            <w:r w:rsidR="00865C01">
              <w:t xml:space="preserve">/ HIK </w:t>
            </w:r>
            <w:r w:rsidR="00961176">
              <w:t>Pracovné</w:t>
            </w:r>
            <w:r w:rsidR="006E5B37">
              <w:t xml:space="preserve"> 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961176">
              <w:t>Labour</w:t>
            </w:r>
            <w:proofErr w:type="spellEnd"/>
            <w:r w:rsidR="0085075E">
              <w:t xml:space="preserve"> </w:t>
            </w:r>
            <w:proofErr w:type="spellStart"/>
            <w:r w:rsidR="0085075E">
              <w:t>Law</w:t>
            </w:r>
            <w:proofErr w:type="spellEnd"/>
            <w:r>
              <w:t>"</w:t>
            </w:r>
            <w:r w:rsidR="00865C01">
              <w:t>/</w:t>
            </w:r>
            <w:r w:rsidR="006872F9">
              <w:t xml:space="preserve"> HIK </w:t>
            </w:r>
            <w:proofErr w:type="spellStart"/>
            <w:r w:rsidR="00961176">
              <w:t>Labour</w:t>
            </w:r>
            <w:proofErr w:type="spellEnd"/>
            <w:r w:rsidR="006872F9">
              <w:t xml:space="preserve"> La</w:t>
            </w:r>
            <w:proofErr w:type="spellStart"/>
            <w:r w:rsidR="006872F9">
              <w:t>w</w:t>
            </w:r>
            <w:proofErr w:type="spellEnd"/>
          </w:p>
        </w:tc>
      </w:tr>
      <w:tr w:rsidR="008E2108" w:rsidRPr="00FF6B5A" w14:paraId="12403A01" w14:textId="77777777" w:rsidTr="00C86832">
        <w:trPr>
          <w:trHeight w:val="300"/>
        </w:trPr>
        <w:tc>
          <w:tcPr>
            <w:tcW w:w="0" w:type="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vAlign w:val="center"/>
          </w:tcPr>
          <w:p w14:paraId="42054CD5" w14:textId="0F412E7D" w:rsidR="008E2108" w:rsidRPr="00F65D77" w:rsidRDefault="00D81D79" w:rsidP="004E4845">
            <w:pPr>
              <w:spacing w:after="0" w:line="240" w:lineRule="auto"/>
            </w:pPr>
            <w:r w:rsidRPr="00F65D77">
              <w:rPr>
                <w:b/>
              </w:rPr>
              <w:t>Zaradenie (PF TU)</w:t>
            </w:r>
          </w:p>
        </w:tc>
        <w:tc>
          <w:tcPr>
            <w:tcW w:w="0" w:type="auto"/>
          </w:tcPr>
          <w:p w14:paraId="60615D2C" w14:textId="6DA660F9" w:rsidR="008E2108" w:rsidRPr="00F65D77" w:rsidRDefault="00F165AB" w:rsidP="00FF6B5A">
            <w:pPr>
              <w:spacing w:after="0" w:line="240" w:lineRule="auto"/>
              <w:rPr>
                <w:rFonts w:ascii="Calibri" w:eastAsia="Times New Roman" w:hAnsi="Calibri" w:cs="Times New Roman"/>
                <w:color w:val="000000"/>
                <w:lang w:eastAsia="sk-SK"/>
              </w:rPr>
            </w:pPr>
            <w:r w:rsidRPr="00F65D77">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961176"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hideMark/>
          </w:tcPr>
          <w:p w14:paraId="0E6EEB5A" w14:textId="2770F70C"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F65D77">
              <w:rPr>
                <w:rFonts w:ascii="Calibri" w:eastAsia="Times New Roman" w:hAnsi="Calibri" w:cs="Times New Roman"/>
                <w:color w:val="000000"/>
                <w:lang w:eastAsia="sk-SK"/>
              </w:rPr>
              <w:t>5</w:t>
            </w:r>
          </w:p>
        </w:tc>
      </w:tr>
      <w:tr w:rsidR="00FF6B5A" w:rsidRPr="00FF6B5A" w14:paraId="223C9C57" w14:textId="77777777" w:rsidTr="00C86832">
        <w:trPr>
          <w:trHeight w:val="660"/>
        </w:trPr>
        <w:tc>
          <w:tcPr>
            <w:tcW w:w="0" w:type="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96117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hideMark/>
          </w:tcPr>
          <w:p w14:paraId="21A16A40" w14:textId="10A6E4DB" w:rsidR="00F65D77" w:rsidRPr="00F65D77" w:rsidRDefault="00D25C4E" w:rsidP="00F65D77">
            <w:pPr>
              <w:spacing w:after="0"/>
              <w:rPr>
                <w:rFonts w:eastAsia="Times New Roman" w:cstheme="minorHAnsi"/>
                <w:bCs/>
                <w:sz w:val="24"/>
                <w:szCs w:val="24"/>
                <w:lang w:eastAsia="sk-SK"/>
              </w:rPr>
            </w:pPr>
            <w:r w:rsidRPr="00D25C4E">
              <w:rPr>
                <w:rFonts w:eastAsia="Times New Roman" w:cstheme="minorHAnsi"/>
                <w:b/>
                <w:bCs/>
                <w:sz w:val="24"/>
                <w:szCs w:val="24"/>
                <w:lang w:eastAsia="sk-SK"/>
              </w:rPr>
              <w:t xml:space="preserve">ID: </w:t>
            </w:r>
            <w:r w:rsidR="00F65D77" w:rsidRPr="00F65D77">
              <w:rPr>
                <w:rFonts w:eastAsia="Times New Roman" w:cstheme="minorHAnsi"/>
                <w:bCs/>
                <w:sz w:val="24"/>
                <w:szCs w:val="24"/>
                <w:lang w:eastAsia="sk-SK"/>
              </w:rPr>
              <w:t xml:space="preserve">1490891 | </w:t>
            </w:r>
            <w:proofErr w:type="spellStart"/>
            <w:r w:rsidR="00F65D77" w:rsidRPr="00F65D77">
              <w:rPr>
                <w:rFonts w:eastAsia="Times New Roman" w:cstheme="minorHAnsi"/>
                <w:bCs/>
                <w:sz w:val="24"/>
                <w:szCs w:val="24"/>
                <w:lang w:eastAsia="sk-SK"/>
              </w:rPr>
              <w:t>Protection</w:t>
            </w:r>
            <w:proofErr w:type="spellEnd"/>
            <w:r w:rsidR="00F65D77" w:rsidRPr="00F65D77">
              <w:rPr>
                <w:rFonts w:eastAsia="Times New Roman" w:cstheme="minorHAnsi"/>
                <w:bCs/>
                <w:sz w:val="24"/>
                <w:szCs w:val="24"/>
                <w:lang w:eastAsia="sk-SK"/>
              </w:rPr>
              <w:t xml:space="preserve"> of </w:t>
            </w:r>
            <w:proofErr w:type="spellStart"/>
            <w:r w:rsidR="00F65D77" w:rsidRPr="00F65D77">
              <w:rPr>
                <w:rFonts w:eastAsia="Times New Roman" w:cstheme="minorHAnsi"/>
                <w:bCs/>
                <w:sz w:val="24"/>
                <w:szCs w:val="24"/>
                <w:lang w:eastAsia="sk-SK"/>
              </w:rPr>
              <w:t>whistleblowers</w:t>
            </w:r>
            <w:proofErr w:type="spellEnd"/>
            <w:r w:rsidR="00F65D77" w:rsidRPr="00F65D77">
              <w:rPr>
                <w:rFonts w:eastAsia="Times New Roman" w:cstheme="minorHAnsi"/>
                <w:bCs/>
                <w:sz w:val="24"/>
                <w:szCs w:val="24"/>
                <w:lang w:eastAsia="sk-SK"/>
              </w:rPr>
              <w:t xml:space="preserve"> </w:t>
            </w:r>
            <w:proofErr w:type="spellStart"/>
            <w:r w:rsidR="00F65D77" w:rsidRPr="00F65D77">
              <w:rPr>
                <w:rFonts w:eastAsia="Times New Roman" w:cstheme="minorHAnsi"/>
                <w:bCs/>
                <w:sz w:val="24"/>
                <w:szCs w:val="24"/>
                <w:lang w:eastAsia="sk-SK"/>
              </w:rPr>
              <w:t>vs</w:t>
            </w:r>
            <w:proofErr w:type="spellEnd"/>
            <w:r w:rsidR="00F65D77" w:rsidRPr="00F65D77">
              <w:rPr>
                <w:rFonts w:eastAsia="Times New Roman" w:cstheme="minorHAnsi"/>
                <w:bCs/>
                <w:sz w:val="24"/>
                <w:szCs w:val="24"/>
                <w:lang w:eastAsia="sk-SK"/>
              </w:rPr>
              <w:t xml:space="preserve">. </w:t>
            </w:r>
            <w:proofErr w:type="spellStart"/>
            <w:r w:rsidR="00F65D77" w:rsidRPr="00F65D77">
              <w:rPr>
                <w:rFonts w:eastAsia="Times New Roman" w:cstheme="minorHAnsi"/>
                <w:bCs/>
                <w:sz w:val="24"/>
                <w:szCs w:val="24"/>
                <w:lang w:eastAsia="sk-SK"/>
              </w:rPr>
              <w:t>protection</w:t>
            </w:r>
            <w:proofErr w:type="spellEnd"/>
            <w:r w:rsidR="00F65D77" w:rsidRPr="00F65D77">
              <w:rPr>
                <w:rFonts w:eastAsia="Times New Roman" w:cstheme="minorHAnsi"/>
                <w:bCs/>
                <w:sz w:val="24"/>
                <w:szCs w:val="24"/>
                <w:lang w:eastAsia="sk-SK"/>
              </w:rPr>
              <w:t xml:space="preserve"> of </w:t>
            </w:r>
            <w:proofErr w:type="spellStart"/>
            <w:r w:rsidR="00F65D77" w:rsidRPr="00F65D77">
              <w:rPr>
                <w:rFonts w:eastAsia="Times New Roman" w:cstheme="minorHAnsi"/>
                <w:bCs/>
                <w:sz w:val="24"/>
                <w:szCs w:val="24"/>
                <w:lang w:eastAsia="sk-SK"/>
              </w:rPr>
              <w:t>personal</w:t>
            </w:r>
            <w:proofErr w:type="spellEnd"/>
            <w:r w:rsidR="00F65D77" w:rsidRPr="00F65D77">
              <w:rPr>
                <w:rFonts w:eastAsia="Times New Roman" w:cstheme="minorHAnsi"/>
                <w:bCs/>
                <w:sz w:val="24"/>
                <w:szCs w:val="24"/>
                <w:lang w:eastAsia="sk-SK"/>
              </w:rPr>
              <w:t xml:space="preserve"> </w:t>
            </w:r>
            <w:proofErr w:type="spellStart"/>
            <w:r w:rsidR="00F65D77" w:rsidRPr="00F65D77">
              <w:rPr>
                <w:rFonts w:eastAsia="Times New Roman" w:cstheme="minorHAnsi"/>
                <w:bCs/>
                <w:sz w:val="24"/>
                <w:szCs w:val="24"/>
                <w:lang w:eastAsia="sk-SK"/>
              </w:rPr>
              <w:t>data</w:t>
            </w:r>
            <w:proofErr w:type="spellEnd"/>
            <w:r w:rsidR="00F65D77" w:rsidRPr="00F65D77">
              <w:rPr>
                <w:rFonts w:eastAsia="Times New Roman" w:cstheme="minorHAnsi"/>
                <w:bCs/>
                <w:sz w:val="24"/>
                <w:szCs w:val="24"/>
                <w:lang w:eastAsia="sk-SK"/>
              </w:rPr>
              <w:t xml:space="preserve"> / Varga, Peter [Autor, 100%]. – [recenzované]. – DOI 10.32084/tkp.10205.</w:t>
            </w:r>
          </w:p>
          <w:p w14:paraId="69F62028" w14:textId="4875E9A6" w:rsidR="00273FED" w:rsidRPr="00D25C4E" w:rsidRDefault="00F65D77" w:rsidP="00F65D77">
            <w:pPr>
              <w:spacing w:after="0"/>
              <w:rPr>
                <w:rFonts w:eastAsia="Times New Roman" w:cstheme="minorHAnsi"/>
                <w:b/>
                <w:bCs/>
                <w:sz w:val="24"/>
                <w:szCs w:val="24"/>
                <w:lang w:eastAsia="sk-SK"/>
              </w:rPr>
            </w:pPr>
            <w:r w:rsidRPr="00F65D77">
              <w:rPr>
                <w:rFonts w:eastAsia="Times New Roman" w:cstheme="minorHAnsi"/>
                <w:bCs/>
                <w:sz w:val="24"/>
                <w:szCs w:val="24"/>
                <w:lang w:eastAsia="sk-SK"/>
              </w:rPr>
              <w:t xml:space="preserve">In: </w:t>
            </w:r>
            <w:proofErr w:type="spellStart"/>
            <w:r w:rsidRPr="00F65D77">
              <w:rPr>
                <w:rFonts w:eastAsia="Times New Roman" w:cstheme="minorHAnsi"/>
                <w:bCs/>
                <w:sz w:val="24"/>
                <w:szCs w:val="24"/>
                <w:lang w:eastAsia="sk-SK"/>
              </w:rPr>
              <w:t>Teka</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Komisji</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Prawniczej</w:t>
            </w:r>
            <w:proofErr w:type="spellEnd"/>
            <w:r w:rsidRPr="00F65D77">
              <w:rPr>
                <w:rFonts w:eastAsia="Times New Roman" w:cstheme="minorHAnsi"/>
                <w:bCs/>
                <w:sz w:val="24"/>
                <w:szCs w:val="24"/>
                <w:lang w:eastAsia="sk-SK"/>
              </w:rPr>
              <w:t xml:space="preserve"> [textový dokument (</w:t>
            </w:r>
            <w:proofErr w:type="spellStart"/>
            <w:r w:rsidRPr="00F65D77">
              <w:rPr>
                <w:rFonts w:eastAsia="Times New Roman" w:cstheme="minorHAnsi"/>
                <w:bCs/>
                <w:sz w:val="24"/>
                <w:szCs w:val="24"/>
                <w:lang w:eastAsia="sk-SK"/>
              </w:rPr>
              <w:t>print</w:t>
            </w:r>
            <w:proofErr w:type="spellEnd"/>
            <w:r w:rsidRPr="00F65D77">
              <w:rPr>
                <w:rFonts w:eastAsia="Times New Roman" w:cstheme="minorHAnsi"/>
                <w:bCs/>
                <w:sz w:val="24"/>
                <w:szCs w:val="24"/>
                <w:lang w:eastAsia="sk-SK"/>
              </w:rPr>
              <w:t xml:space="preserve">)] [elektronický dokument] . – </w:t>
            </w:r>
            <w:proofErr w:type="spellStart"/>
            <w:r w:rsidRPr="00F65D77">
              <w:rPr>
                <w:rFonts w:eastAsia="Times New Roman" w:cstheme="minorHAnsi"/>
                <w:bCs/>
                <w:sz w:val="24"/>
                <w:szCs w:val="24"/>
                <w:lang w:eastAsia="sk-SK"/>
              </w:rPr>
              <w:t>Lublin</w:t>
            </w:r>
            <w:proofErr w:type="spellEnd"/>
            <w:r w:rsidRPr="00F65D77">
              <w:rPr>
                <w:rFonts w:eastAsia="Times New Roman" w:cstheme="minorHAnsi"/>
                <w:bCs/>
                <w:sz w:val="24"/>
                <w:szCs w:val="24"/>
                <w:lang w:eastAsia="sk-SK"/>
              </w:rPr>
              <w:t xml:space="preserve"> (Poľsko) : </w:t>
            </w:r>
            <w:proofErr w:type="spellStart"/>
            <w:r w:rsidRPr="00F65D77">
              <w:rPr>
                <w:rFonts w:eastAsia="Times New Roman" w:cstheme="minorHAnsi"/>
                <w:bCs/>
                <w:sz w:val="24"/>
                <w:szCs w:val="24"/>
                <w:lang w:eastAsia="sk-SK"/>
              </w:rPr>
              <w:t>Stowarzyszenia</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Absolwentów</w:t>
            </w:r>
            <w:proofErr w:type="spellEnd"/>
            <w:r w:rsidRPr="00F65D77">
              <w:rPr>
                <w:rFonts w:eastAsia="Times New Roman" w:cstheme="minorHAnsi"/>
                <w:bCs/>
                <w:sz w:val="24"/>
                <w:szCs w:val="24"/>
                <w:lang w:eastAsia="sk-SK"/>
              </w:rPr>
              <w:t xml:space="preserve"> i </w:t>
            </w:r>
            <w:proofErr w:type="spellStart"/>
            <w:r w:rsidRPr="00F65D77">
              <w:rPr>
                <w:rFonts w:eastAsia="Times New Roman" w:cstheme="minorHAnsi"/>
                <w:bCs/>
                <w:sz w:val="24"/>
                <w:szCs w:val="24"/>
                <w:lang w:eastAsia="sk-SK"/>
              </w:rPr>
              <w:t>Przyjaciól</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Wydzialu</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Prawa</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Katolickiego</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Uniwersytetu</w:t>
            </w:r>
            <w:proofErr w:type="spellEnd"/>
            <w:r w:rsidRPr="00F65D77">
              <w:rPr>
                <w:rFonts w:eastAsia="Times New Roman" w:cstheme="minorHAnsi"/>
                <w:bCs/>
                <w:sz w:val="24"/>
                <w:szCs w:val="24"/>
                <w:lang w:eastAsia="sk-SK"/>
              </w:rPr>
              <w:t xml:space="preserve"> </w:t>
            </w:r>
            <w:proofErr w:type="spellStart"/>
            <w:r w:rsidRPr="00F65D77">
              <w:rPr>
                <w:rFonts w:eastAsia="Times New Roman" w:cstheme="minorHAnsi"/>
                <w:bCs/>
                <w:sz w:val="24"/>
                <w:szCs w:val="24"/>
                <w:lang w:eastAsia="sk-SK"/>
              </w:rPr>
              <w:t>Lubelskiego</w:t>
            </w:r>
            <w:proofErr w:type="spellEnd"/>
            <w:r w:rsidRPr="00F65D77">
              <w:rPr>
                <w:rFonts w:eastAsia="Times New Roman" w:cstheme="minorHAnsi"/>
                <w:bCs/>
                <w:sz w:val="24"/>
                <w:szCs w:val="24"/>
                <w:lang w:eastAsia="sk-SK"/>
              </w:rPr>
              <w:t>. – ISSN 1899-7694. – ISSN (online) 2719-7379. – TUTPR signatúra E075826. – Roč. 18, č. 2 (2025), s. 575-586 [tlačená forma] [online]</w:t>
            </w:r>
          </w:p>
        </w:tc>
      </w:tr>
      <w:tr w:rsidR="00FF6B5A" w:rsidRPr="00FF6B5A" w14:paraId="79149E5F" w14:textId="77777777" w:rsidTr="00C86832">
        <w:trPr>
          <w:trHeight w:val="525"/>
        </w:trPr>
        <w:tc>
          <w:tcPr>
            <w:tcW w:w="0" w:type="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961176"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hideMark/>
          </w:tcPr>
          <w:p w14:paraId="18C92EC9" w14:textId="381A4D49" w:rsidR="00FF6B5A" w:rsidRPr="00FF6B5A" w:rsidRDefault="00961176" w:rsidP="004A606B">
            <w:pPr>
              <w:rPr>
                <w:rFonts w:ascii="Calibri" w:eastAsia="Times New Roman" w:hAnsi="Calibri" w:cs="Times New Roman"/>
                <w:color w:val="000000"/>
                <w:lang w:eastAsia="sk-SK"/>
              </w:rPr>
            </w:pPr>
            <w:hyperlink r:id="rId20" w:tgtFrame="_blank" w:history="1">
              <w:r w:rsidR="00F65D77" w:rsidRPr="00F65D77">
                <w:rPr>
                  <w:rStyle w:val="Hypertextovprepojenie"/>
                  <w:rFonts w:ascii="Calibri" w:eastAsia="Times New Roman" w:hAnsi="Calibri" w:cs="Times New Roman"/>
                  <w:lang w:eastAsia="sk-SK"/>
                </w:rPr>
                <w:t>https://app.crepc.sk/?fn=detailBiblioForm&amp;sid=394581B55BAE63AC69A4BC6F4926</w:t>
              </w:r>
            </w:hyperlink>
            <w:r w:rsidR="00F65D77">
              <w:rPr>
                <w:rFonts w:ascii="Calibri" w:eastAsia="Times New Roman" w:hAnsi="Calibri" w:cs="Times New Roman"/>
                <w:color w:val="000000"/>
                <w:lang w:eastAsia="sk-SK"/>
              </w:rPr>
              <w:t xml:space="preserve"> </w:t>
            </w:r>
          </w:p>
        </w:tc>
      </w:tr>
      <w:tr w:rsidR="00C86832" w:rsidRPr="00FF6B5A" w14:paraId="606552E8" w14:textId="77777777" w:rsidTr="00C86832">
        <w:trPr>
          <w:trHeight w:val="525"/>
        </w:trPr>
        <w:tc>
          <w:tcPr>
            <w:tcW w:w="0" w:type="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961176"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w:t>
              </w:r>
              <w:r w:rsidR="00FF6B5A" w:rsidRPr="00FF6B5A">
                <w:rPr>
                  <w:rFonts w:ascii="Calibri" w:eastAsia="Times New Roman" w:hAnsi="Calibri" w:cs="Times New Roman"/>
                  <w:lang w:eastAsia="sk-SK"/>
                </w:rPr>
                <w:lastRenderedPageBreak/>
                <w:t xml:space="preserve">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hideMark/>
          </w:tcPr>
          <w:p w14:paraId="7FB2B1C5" w14:textId="0F742EB3" w:rsidR="00FF6B5A" w:rsidRPr="00FF6B5A" w:rsidRDefault="00961176" w:rsidP="00FF6B5A">
            <w:pPr>
              <w:spacing w:after="0" w:line="240" w:lineRule="auto"/>
              <w:rPr>
                <w:rFonts w:ascii="Calibri" w:eastAsia="Times New Roman" w:hAnsi="Calibri" w:cs="Times New Roman"/>
                <w:color w:val="000000"/>
                <w:lang w:eastAsia="sk-SK"/>
              </w:rPr>
            </w:pPr>
            <w:hyperlink r:id="rId22" w:history="1">
              <w:r w:rsidR="00731167" w:rsidRPr="000268CA">
                <w:rPr>
                  <w:rStyle w:val="Hypertextovprepojenie"/>
                  <w:rFonts w:ascii="Calibri" w:eastAsia="Times New Roman" w:hAnsi="Calibri" w:cs="Times New Roman"/>
                  <w:lang w:eastAsia="sk-SK"/>
                </w:rPr>
                <w:t>https://ojs.academicon.pl/tkppan/article/view/10205/10577</w:t>
              </w:r>
            </w:hyperlink>
            <w:r w:rsidR="00731167">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961176"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961176"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hideMark/>
          </w:tcPr>
          <w:p w14:paraId="00EE547B" w14:textId="3F22DB60" w:rsidR="002E6FE9" w:rsidRDefault="00D63B30"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Pr="00D63B30">
              <w:rPr>
                <w:rFonts w:ascii="Calibri" w:eastAsia="Times New Roman" w:hAnsi="Calibri" w:cs="Times New Roman"/>
                <w:color w:val="000000"/>
                <w:lang w:eastAsia="sk-SK"/>
              </w:rPr>
              <w:t xml:space="preserve"> analyzuje vzťah medzi smernicou o ochrane oznamovateľov a</w:t>
            </w:r>
            <w:r>
              <w:rPr>
                <w:rFonts w:ascii="Calibri" w:eastAsia="Times New Roman" w:hAnsi="Calibri" w:cs="Times New Roman"/>
                <w:color w:val="000000"/>
                <w:lang w:eastAsia="sk-SK"/>
              </w:rPr>
              <w:t> o ochrane údajov (</w:t>
            </w:r>
            <w:r w:rsidRPr="00D63B30">
              <w:rPr>
                <w:rFonts w:ascii="Calibri" w:eastAsia="Times New Roman" w:hAnsi="Calibri" w:cs="Times New Roman"/>
                <w:color w:val="000000"/>
                <w:lang w:eastAsia="sk-SK"/>
              </w:rPr>
              <w:t>GDPR</w:t>
            </w:r>
            <w:r>
              <w:rPr>
                <w:rFonts w:ascii="Calibri" w:eastAsia="Times New Roman" w:hAnsi="Calibri" w:cs="Times New Roman"/>
                <w:color w:val="000000"/>
                <w:lang w:eastAsia="sk-SK"/>
              </w:rPr>
              <w:t>)</w:t>
            </w:r>
            <w:r w:rsidRPr="00D63B30">
              <w:rPr>
                <w:rFonts w:ascii="Calibri" w:eastAsia="Times New Roman" w:hAnsi="Calibri" w:cs="Times New Roman"/>
                <w:color w:val="000000"/>
                <w:lang w:eastAsia="sk-SK"/>
              </w:rPr>
              <w:t>, pričom poukazuje na praktické a právne napätia vznikajúce pri ich súbežnej aplikácii. Autor sa v tvorivom procese sústredil na identifikáciu kolíznych bodov a na hľadanie riešení, ktoré umožňujú zosúladiť ochranu oznamovateľov s ochranou osobných údajov. Výstup ponúka stručnú, no analyticky podloženú reflexiu potreby koordinovaného prístupu, ktorý zabezpečí efektívne a právne vyvážené fungovanie oboch režimov v praxi</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04D55854" w14:textId="7C4E8D72" w:rsidR="00BB2890" w:rsidRDefault="00D63B30" w:rsidP="00273FED">
            <w:pPr>
              <w:spacing w:after="0" w:line="240" w:lineRule="auto"/>
              <w:jc w:val="both"/>
              <w:rPr>
                <w:rFonts w:ascii="Calibri" w:eastAsia="Times New Roman" w:hAnsi="Calibri" w:cs="Times New Roman"/>
                <w:i/>
                <w:color w:val="000000"/>
                <w:lang w:val="en-GB" w:eastAsia="sk-SK"/>
              </w:rPr>
            </w:pPr>
            <w:r w:rsidRPr="00D63B30">
              <w:rPr>
                <w:rFonts w:ascii="Calibri" w:eastAsia="Times New Roman" w:hAnsi="Calibri" w:cs="Times New Roman"/>
                <w:i/>
                <w:color w:val="000000"/>
                <w:lang w:val="en-GB" w:eastAsia="sk-SK"/>
              </w:rPr>
              <w:t>The out</w:t>
            </w:r>
            <w:r>
              <w:rPr>
                <w:rFonts w:ascii="Calibri" w:eastAsia="Times New Roman" w:hAnsi="Calibri" w:cs="Times New Roman"/>
                <w:i/>
                <w:color w:val="000000"/>
                <w:lang w:val="en-GB" w:eastAsia="sk-SK"/>
              </w:rPr>
              <w:t>come</w:t>
            </w:r>
            <w:r w:rsidRPr="00D63B30">
              <w:rPr>
                <w:rFonts w:ascii="Calibri" w:eastAsia="Times New Roman" w:hAnsi="Calibri" w:cs="Times New Roman"/>
                <w:i/>
                <w:color w:val="000000"/>
                <w:lang w:val="en-GB" w:eastAsia="sk-SK"/>
              </w:rPr>
              <w:t xml:space="preserve"> analyses the relationship between the Whistleblower Protection Directive and data protection (GDPR), highlighting the practical and legal tensions that arise when they are applied concurrently. In the creative process, the author focused on identifying points of conflict and exploring solutions that can reconcile whistleblower protection with personal data protection. The output offers a concise yet analytically grounded reflection on the need for a coordinated approach that ensures the effective and legally balanced functioning of both regimes in practice</w:t>
            </w:r>
            <w:r w:rsidR="00BB2890">
              <w:rPr>
                <w:rFonts w:ascii="Calibri" w:eastAsia="Times New Roman" w:hAnsi="Calibri" w:cs="Times New Roman"/>
                <w:i/>
                <w:color w:val="000000"/>
                <w:lang w:val="en-GB" w:eastAsia="sk-SK"/>
              </w:rPr>
              <w:t>.</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961176"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hideMark/>
          </w:tcPr>
          <w:p w14:paraId="694C86A7" w14:textId="35C1B9D6" w:rsidR="00422600" w:rsidRPr="00FF6B5A" w:rsidRDefault="00273FED" w:rsidP="000C6D3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7DBED568" w14:textId="77777777" w:rsidTr="00C86832">
        <w:trPr>
          <w:trHeight w:val="1170"/>
        </w:trPr>
        <w:tc>
          <w:tcPr>
            <w:tcW w:w="0" w:type="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5B5F9358" w14:textId="02F7A430" w:rsidR="00210794" w:rsidRDefault="00F94C44" w:rsidP="009B4C1D">
            <w:pPr>
              <w:spacing w:after="0" w:line="240" w:lineRule="auto"/>
              <w:jc w:val="both"/>
              <w:rPr>
                <w:rFonts w:ascii="Calibri" w:eastAsia="Times New Roman" w:hAnsi="Calibri" w:cs="Times New Roman"/>
                <w:color w:val="000000"/>
                <w:lang w:eastAsia="sk-SK"/>
              </w:rPr>
            </w:pPr>
            <w:r w:rsidRPr="00F94C44">
              <w:rPr>
                <w:rFonts w:ascii="Calibri" w:eastAsia="Times New Roman" w:hAnsi="Calibri" w:cs="Times New Roman"/>
                <w:color w:val="000000"/>
                <w:lang w:eastAsia="sk-SK"/>
              </w:rPr>
              <w:t xml:space="preserve">Výstup prispieva k lepšiemu porozumeniu právnych povinností organizácií v oblasti ochrany oznamovateľov a ochrany osobných údajov, čo má priamy dopad na kvalitu </w:t>
            </w:r>
            <w:proofErr w:type="spellStart"/>
            <w:r w:rsidRPr="00F94C44">
              <w:rPr>
                <w:rFonts w:ascii="Calibri" w:eastAsia="Times New Roman" w:hAnsi="Calibri" w:cs="Times New Roman"/>
                <w:color w:val="000000"/>
                <w:lang w:eastAsia="sk-SK"/>
              </w:rPr>
              <w:t>compliance</w:t>
            </w:r>
            <w:proofErr w:type="spellEnd"/>
            <w:r w:rsidRPr="00F94C44">
              <w:rPr>
                <w:rFonts w:ascii="Calibri" w:eastAsia="Times New Roman" w:hAnsi="Calibri" w:cs="Times New Roman"/>
                <w:color w:val="000000"/>
                <w:lang w:eastAsia="sk-SK"/>
              </w:rPr>
              <w:t xml:space="preserve"> procesov vo verejnom aj súkromnom sektore. Poskytuje analytické východiská, ktoré môžu organizácie využiť pri nastavovaní interných mechanizmov oznamovania a spracúvania osobných údajov, čím znižuje riziko právnych pochybení a sankcií. Zároveň podporuje právnu istotu a transparentnosť pri implementácii európskej legislatívy, čo prispieva k zodpovednému riadeniu, ochrane práv jednotlivcov a k celkovému zvyšovaniu kvality správy a riadenia v spoločensko</w:t>
            </w:r>
            <w:r w:rsidRPr="00F94C44">
              <w:rPr>
                <w:rFonts w:ascii="Cambria Math" w:eastAsia="Times New Roman" w:hAnsi="Cambria Math" w:cs="Cambria Math"/>
                <w:color w:val="000000"/>
                <w:lang w:eastAsia="sk-SK"/>
              </w:rPr>
              <w:t>‑</w:t>
            </w:r>
            <w:r w:rsidRPr="00F94C44">
              <w:rPr>
                <w:rFonts w:ascii="Calibri" w:eastAsia="Times New Roman" w:hAnsi="Calibri" w:cs="Times New Roman"/>
                <w:color w:val="000000"/>
                <w:lang w:eastAsia="sk-SK"/>
              </w:rPr>
              <w:t>hospod</w:t>
            </w:r>
            <w:r w:rsidRPr="00F94C44">
              <w:rPr>
                <w:rFonts w:ascii="Calibri" w:eastAsia="Times New Roman" w:hAnsi="Calibri" w:cs="Calibri"/>
                <w:color w:val="000000"/>
                <w:lang w:eastAsia="sk-SK"/>
              </w:rPr>
              <w:t>á</w:t>
            </w:r>
            <w:r w:rsidRPr="00F94C44">
              <w:rPr>
                <w:rFonts w:ascii="Calibri" w:eastAsia="Times New Roman" w:hAnsi="Calibri" w:cs="Times New Roman"/>
                <w:color w:val="000000"/>
                <w:lang w:eastAsia="sk-SK"/>
              </w:rPr>
              <w:t>rskom prostred</w:t>
            </w:r>
            <w:r w:rsidRPr="00F94C44">
              <w:rPr>
                <w:rFonts w:ascii="Calibri" w:eastAsia="Times New Roman" w:hAnsi="Calibri" w:cs="Calibri"/>
                <w:color w:val="000000"/>
                <w:lang w:eastAsia="sk-SK"/>
              </w:rPr>
              <w:t>í</w:t>
            </w:r>
            <w:r w:rsidRPr="00F94C44">
              <w:rPr>
                <w:rFonts w:ascii="Calibri" w:eastAsia="Times New Roman" w:hAnsi="Calibri" w:cs="Times New Roman"/>
                <w:color w:val="000000"/>
                <w:lang w:eastAsia="sk-SK"/>
              </w:rPr>
              <w:t>.</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01CA6869" w:rsidR="0074791C" w:rsidRPr="00FF6B5A" w:rsidRDefault="00F94C44" w:rsidP="00210794">
            <w:pPr>
              <w:spacing w:after="0"/>
              <w:jc w:val="both"/>
              <w:rPr>
                <w:rFonts w:ascii="Calibri" w:eastAsia="Times New Roman" w:hAnsi="Calibri" w:cs="Times New Roman"/>
                <w:color w:val="000000"/>
                <w:lang w:eastAsia="sk-SK"/>
              </w:rPr>
            </w:pPr>
            <w:r w:rsidRPr="00F94C44">
              <w:rPr>
                <w:rFonts w:ascii="Calibri" w:eastAsia="Times New Roman" w:hAnsi="Calibri" w:cs="Times New Roman"/>
                <w:i/>
                <w:iCs/>
                <w:color w:val="000000"/>
                <w:lang w:val="en-US" w:eastAsia="sk-SK"/>
              </w:rPr>
              <w:t>The output contributes to a better understanding of the legal obligations of organizations in the areas of whistleblower protection and personal data protection, which has a direct impact on the quality of compliance processes in both the public and private sectors. It provides analytical foundations that organizations can use when setting up internal mechanisms for reporting and for processing personal data, thereby reducing the risk of legal errors and sanctions. At the same time, it strengthens legal certainty and transparency in the implementation of European legislation, contributing to responsible governance, the protection of individual rights, and the overall improvement of management quality within the socio</w:t>
            </w:r>
            <w:r w:rsidRPr="00F94C44">
              <w:rPr>
                <w:rFonts w:ascii="Cambria Math" w:eastAsia="Times New Roman" w:hAnsi="Cambria Math" w:cs="Cambria Math"/>
                <w:i/>
                <w:iCs/>
                <w:color w:val="000000"/>
                <w:lang w:val="en-US" w:eastAsia="sk-SK"/>
              </w:rPr>
              <w:t>‑</w:t>
            </w:r>
            <w:r w:rsidRPr="00F94C44">
              <w:rPr>
                <w:rFonts w:ascii="Calibri" w:eastAsia="Times New Roman" w:hAnsi="Calibri" w:cs="Times New Roman"/>
                <w:i/>
                <w:iCs/>
                <w:color w:val="000000"/>
                <w:lang w:val="en-US" w:eastAsia="sk-SK"/>
              </w:rPr>
              <w:t>economic environment</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vAlign w:val="bottom"/>
            <w:hideMark/>
          </w:tcPr>
          <w:p w14:paraId="1D0E0359" w14:textId="7CA47B98"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7B3E47CC" w14:textId="73500361" w:rsidR="004173E3" w:rsidRDefault="009B4C1D"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zaoberá </w:t>
            </w:r>
            <w:r w:rsidR="00D63B30">
              <w:rPr>
                <w:rFonts w:ascii="Calibri" w:eastAsia="Times New Roman" w:hAnsi="Calibri" w:cs="Times New Roman"/>
                <w:color w:val="000000"/>
                <w:lang w:eastAsia="sk-SK"/>
              </w:rPr>
              <w:t xml:space="preserve">otázkami, ktoré sú regulované a súvisia s fungovaním </w:t>
            </w:r>
            <w:r>
              <w:rPr>
                <w:rFonts w:ascii="Calibri" w:eastAsia="Times New Roman" w:hAnsi="Calibri" w:cs="Times New Roman"/>
                <w:color w:val="000000"/>
                <w:lang w:eastAsia="sk-SK"/>
              </w:rPr>
              <w:t>práv</w:t>
            </w:r>
            <w:r w:rsidR="00D63B30">
              <w:rPr>
                <w:rFonts w:ascii="Calibri" w:eastAsia="Times New Roman" w:hAnsi="Calibri" w:cs="Times New Roman"/>
                <w:color w:val="000000"/>
                <w:lang w:eastAsia="sk-SK"/>
              </w:rPr>
              <w:t>a</w:t>
            </w:r>
            <w:r>
              <w:rPr>
                <w:rFonts w:ascii="Calibri" w:eastAsia="Times New Roman" w:hAnsi="Calibri" w:cs="Times New Roman"/>
                <w:color w:val="000000"/>
                <w:lang w:eastAsia="sk-SK"/>
              </w:rPr>
              <w:t xml:space="preserve"> vnútorného trhu.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sidR="00D63B30">
              <w:rPr>
                <w:rFonts w:ascii="Calibri" w:eastAsia="Times New Roman" w:hAnsi="Calibri" w:cs="Times New Roman"/>
                <w:color w:val="000000"/>
                <w:lang w:eastAsia="sk-SK"/>
              </w:rPr>
              <w:t>ochrany oznamovateľov a ochrany osobných údajov, riešenia prípadných kolízií medzi právnymi normami</w:t>
            </w:r>
            <w:r w:rsidR="00BC1C0D">
              <w:rPr>
                <w:rFonts w:ascii="Calibri" w:eastAsia="Times New Roman" w:hAnsi="Calibri" w:cs="Times New Roman"/>
                <w:color w:val="000000"/>
                <w:lang w:eastAsia="sk-SK"/>
              </w:rPr>
              <w:t>. Výstup môže slúžiť</w:t>
            </w:r>
            <w:r w:rsidR="004173E3" w:rsidRPr="004173E3">
              <w:rPr>
                <w:rFonts w:ascii="Calibri" w:eastAsia="Times New Roman" w:hAnsi="Calibri" w:cs="Times New Roman"/>
                <w:color w:val="000000"/>
                <w:lang w:eastAsia="sk-SK"/>
              </w:rPr>
              <w:t xml:space="preserve">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A89C4B1" w14:textId="693152F4" w:rsidR="0007449E" w:rsidRPr="00BC1C0D" w:rsidRDefault="00D63B30" w:rsidP="0007449E">
            <w:pPr>
              <w:spacing w:after="0"/>
              <w:jc w:val="both"/>
              <w:rPr>
                <w:rFonts w:ascii="Calibri" w:eastAsia="Times New Roman" w:hAnsi="Calibri" w:cs="Times New Roman"/>
                <w:i/>
                <w:color w:val="000000"/>
                <w:lang w:val="en-GB" w:eastAsia="sk-SK"/>
              </w:rPr>
            </w:pPr>
            <w:r w:rsidRPr="00D63B30">
              <w:rPr>
                <w:rFonts w:ascii="Calibri" w:eastAsia="Times New Roman" w:hAnsi="Calibri" w:cs="Times New Roman"/>
                <w:i/>
                <w:color w:val="000000"/>
                <w:lang w:val="en-GB" w:eastAsia="sk-SK"/>
              </w:rPr>
              <w:t>From a content perspective, the output falls within the field of European Union law, specifically addressing issues regulated by and related to the functioning of internal market law. Within the educational process, it can be used for deeper examination of whistleblower protection and personal data protection, as well as for analysing potential conflicts between legal norms. The output may serve particularly as a resource for writing final theses at the bachelor’s and master’s levels, as well as for research conducted at the doctoral level</w:t>
            </w:r>
            <w:r w:rsidR="004576F5" w:rsidRPr="004576F5">
              <w:rPr>
                <w:rFonts w:ascii="Calibri" w:eastAsia="Times New Roman" w:hAnsi="Calibri" w:cs="Times New Roman"/>
                <w:i/>
                <w:color w:val="000000"/>
                <w:lang w:val="en-GB" w:eastAsia="sk-SK"/>
              </w:rPr>
              <w:t>.</w:t>
            </w: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E57D" w14:textId="77777777" w:rsidR="002107FC" w:rsidRDefault="002107FC" w:rsidP="00816E73">
      <w:pPr>
        <w:spacing w:after="0" w:line="240" w:lineRule="auto"/>
      </w:pPr>
      <w:r>
        <w:separator/>
      </w:r>
    </w:p>
  </w:endnote>
  <w:endnote w:type="continuationSeparator" w:id="0">
    <w:p w14:paraId="4DB61083" w14:textId="77777777" w:rsidR="002107FC" w:rsidRDefault="002107FC"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E61A" w14:textId="77777777" w:rsidR="002107FC" w:rsidRDefault="002107FC" w:rsidP="00816E73">
      <w:pPr>
        <w:spacing w:after="0" w:line="240" w:lineRule="auto"/>
      </w:pPr>
      <w:r>
        <w:separator/>
      </w:r>
    </w:p>
  </w:footnote>
  <w:footnote w:type="continuationSeparator" w:id="0">
    <w:p w14:paraId="55EC62F7" w14:textId="77777777" w:rsidR="002107FC" w:rsidRDefault="002107FC"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54E55"/>
    <w:rsid w:val="0007382B"/>
    <w:rsid w:val="0007449E"/>
    <w:rsid w:val="0008088C"/>
    <w:rsid w:val="00087B3E"/>
    <w:rsid w:val="000C6D33"/>
    <w:rsid w:val="000D1F22"/>
    <w:rsid w:val="000E773A"/>
    <w:rsid w:val="00102D82"/>
    <w:rsid w:val="00112F47"/>
    <w:rsid w:val="001155E0"/>
    <w:rsid w:val="00125CFA"/>
    <w:rsid w:val="001A42DD"/>
    <w:rsid w:val="001B3D63"/>
    <w:rsid w:val="001D03F4"/>
    <w:rsid w:val="001F26CD"/>
    <w:rsid w:val="00204921"/>
    <w:rsid w:val="00210794"/>
    <w:rsid w:val="002107FC"/>
    <w:rsid w:val="00222794"/>
    <w:rsid w:val="00242C6E"/>
    <w:rsid w:val="00273FED"/>
    <w:rsid w:val="00274D46"/>
    <w:rsid w:val="002E6FE9"/>
    <w:rsid w:val="002F7FB5"/>
    <w:rsid w:val="00317E93"/>
    <w:rsid w:val="003345F2"/>
    <w:rsid w:val="00387CE6"/>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32FE9"/>
    <w:rsid w:val="005517AF"/>
    <w:rsid w:val="00553060"/>
    <w:rsid w:val="00572798"/>
    <w:rsid w:val="005D0E03"/>
    <w:rsid w:val="005D6234"/>
    <w:rsid w:val="00675F63"/>
    <w:rsid w:val="006849EB"/>
    <w:rsid w:val="006872F9"/>
    <w:rsid w:val="006901D6"/>
    <w:rsid w:val="006A229E"/>
    <w:rsid w:val="006E5B37"/>
    <w:rsid w:val="006F694B"/>
    <w:rsid w:val="0073087F"/>
    <w:rsid w:val="00731167"/>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61176"/>
    <w:rsid w:val="009613D7"/>
    <w:rsid w:val="00975300"/>
    <w:rsid w:val="00980601"/>
    <w:rsid w:val="009A5365"/>
    <w:rsid w:val="009B4C1D"/>
    <w:rsid w:val="009F31E5"/>
    <w:rsid w:val="00A050E2"/>
    <w:rsid w:val="00A10B6E"/>
    <w:rsid w:val="00A23768"/>
    <w:rsid w:val="00A44E1E"/>
    <w:rsid w:val="00A44F05"/>
    <w:rsid w:val="00AA78C3"/>
    <w:rsid w:val="00AF5EF9"/>
    <w:rsid w:val="00B15040"/>
    <w:rsid w:val="00B34A5D"/>
    <w:rsid w:val="00BA1526"/>
    <w:rsid w:val="00BB2890"/>
    <w:rsid w:val="00BB5EA0"/>
    <w:rsid w:val="00BC1C0D"/>
    <w:rsid w:val="00BF314A"/>
    <w:rsid w:val="00C16FE2"/>
    <w:rsid w:val="00C40D4D"/>
    <w:rsid w:val="00C44CB8"/>
    <w:rsid w:val="00C520F6"/>
    <w:rsid w:val="00C86832"/>
    <w:rsid w:val="00CB598B"/>
    <w:rsid w:val="00CF0730"/>
    <w:rsid w:val="00D25C4E"/>
    <w:rsid w:val="00D63B30"/>
    <w:rsid w:val="00D64B7C"/>
    <w:rsid w:val="00D733AB"/>
    <w:rsid w:val="00D81D79"/>
    <w:rsid w:val="00DA3A7D"/>
    <w:rsid w:val="00DC4C52"/>
    <w:rsid w:val="00DD0483"/>
    <w:rsid w:val="00DF77E6"/>
    <w:rsid w:val="00E259F7"/>
    <w:rsid w:val="00E30D84"/>
    <w:rsid w:val="00E8454F"/>
    <w:rsid w:val="00EC403D"/>
    <w:rsid w:val="00EC4DA2"/>
    <w:rsid w:val="00ED492A"/>
    <w:rsid w:val="00F165AB"/>
    <w:rsid w:val="00F577D3"/>
    <w:rsid w:val="00F65D77"/>
    <w:rsid w:val="00F94C44"/>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2615B8C0-BECC-4867-AE29-5086E02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 w:type="character" w:styleId="Nevyrieenzmienka">
    <w:name w:val="Unresolved Mention"/>
    <w:basedOn w:val="Predvolenpsmoodseku"/>
    <w:uiPriority w:val="99"/>
    <w:semiHidden/>
    <w:unhideWhenUsed/>
    <w:rsid w:val="00F65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694454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5">
          <w:marLeft w:val="0"/>
          <w:marRight w:val="0"/>
          <w:marTop w:val="0"/>
          <w:marBottom w:val="0"/>
          <w:divBdr>
            <w:top w:val="none" w:sz="0" w:space="0" w:color="auto"/>
            <w:left w:val="none" w:sz="0" w:space="0" w:color="auto"/>
            <w:bottom w:val="none" w:sz="0" w:space="0" w:color="auto"/>
            <w:right w:val="none" w:sz="0" w:space="0" w:color="auto"/>
          </w:divBdr>
          <w:divsChild>
            <w:div w:id="1815289913">
              <w:marLeft w:val="0"/>
              <w:marRight w:val="0"/>
              <w:marTop w:val="0"/>
              <w:marBottom w:val="0"/>
              <w:divBdr>
                <w:top w:val="none" w:sz="0" w:space="0" w:color="auto"/>
                <w:left w:val="none" w:sz="0" w:space="0" w:color="auto"/>
                <w:bottom w:val="none" w:sz="0" w:space="0" w:color="auto"/>
                <w:right w:val="none" w:sz="0" w:space="0" w:color="auto"/>
              </w:divBdr>
            </w:div>
          </w:divsChild>
        </w:div>
        <w:div w:id="1772897167">
          <w:marLeft w:val="0"/>
          <w:marRight w:val="0"/>
          <w:marTop w:val="0"/>
          <w:marBottom w:val="0"/>
          <w:divBdr>
            <w:top w:val="none" w:sz="0" w:space="0" w:color="auto"/>
            <w:left w:val="none" w:sz="0" w:space="0" w:color="auto"/>
            <w:bottom w:val="none" w:sz="0" w:space="0" w:color="auto"/>
            <w:right w:val="none" w:sz="0" w:space="0" w:color="auto"/>
          </w:divBdr>
          <w:divsChild>
            <w:div w:id="1773745375">
              <w:marLeft w:val="0"/>
              <w:marRight w:val="0"/>
              <w:marTop w:val="0"/>
              <w:marBottom w:val="0"/>
              <w:divBdr>
                <w:top w:val="none" w:sz="0" w:space="0" w:color="auto"/>
                <w:left w:val="none" w:sz="0" w:space="0" w:color="auto"/>
                <w:bottom w:val="none" w:sz="0" w:space="0" w:color="auto"/>
                <w:right w:val="none" w:sz="0" w:space="0" w:color="auto"/>
              </w:divBdr>
            </w:div>
          </w:divsChild>
        </w:div>
        <w:div w:id="545874064">
          <w:marLeft w:val="-225"/>
          <w:marRight w:val="-225"/>
          <w:marTop w:val="0"/>
          <w:marBottom w:val="0"/>
          <w:divBdr>
            <w:top w:val="none" w:sz="0" w:space="0" w:color="auto"/>
            <w:left w:val="none" w:sz="0" w:space="0" w:color="auto"/>
            <w:bottom w:val="none" w:sz="0" w:space="0" w:color="auto"/>
            <w:right w:val="none" w:sz="0" w:space="0" w:color="auto"/>
          </w:divBdr>
          <w:divsChild>
            <w:div w:id="1589269080">
              <w:marLeft w:val="0"/>
              <w:marRight w:val="0"/>
              <w:marTop w:val="0"/>
              <w:marBottom w:val="0"/>
              <w:divBdr>
                <w:top w:val="none" w:sz="0" w:space="0" w:color="auto"/>
                <w:left w:val="none" w:sz="0" w:space="0" w:color="auto"/>
                <w:bottom w:val="none" w:sz="0" w:space="0" w:color="auto"/>
                <w:right w:val="none" w:sz="0" w:space="0" w:color="auto"/>
              </w:divBdr>
            </w:div>
          </w:divsChild>
        </w:div>
        <w:div w:id="750007061">
          <w:marLeft w:val="-225"/>
          <w:marRight w:val="-225"/>
          <w:marTop w:val="0"/>
          <w:marBottom w:val="0"/>
          <w:divBdr>
            <w:top w:val="none" w:sz="0" w:space="0" w:color="auto"/>
            <w:left w:val="none" w:sz="0" w:space="0" w:color="auto"/>
            <w:bottom w:val="none" w:sz="0" w:space="0" w:color="auto"/>
            <w:right w:val="none" w:sz="0" w:space="0" w:color="auto"/>
          </w:divBdr>
          <w:divsChild>
            <w:div w:id="91512753">
              <w:marLeft w:val="0"/>
              <w:marRight w:val="0"/>
              <w:marTop w:val="0"/>
              <w:marBottom w:val="0"/>
              <w:divBdr>
                <w:top w:val="none" w:sz="0" w:space="0" w:color="auto"/>
                <w:left w:val="none" w:sz="0" w:space="0" w:color="auto"/>
                <w:bottom w:val="none" w:sz="0" w:space="0" w:color="auto"/>
                <w:right w:val="none" w:sz="0" w:space="0" w:color="auto"/>
              </w:divBdr>
              <w:divsChild>
                <w:div w:id="2838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504860">
          <w:marLeft w:val="0"/>
          <w:marRight w:val="0"/>
          <w:marTop w:val="0"/>
          <w:marBottom w:val="0"/>
          <w:divBdr>
            <w:top w:val="none" w:sz="0" w:space="0" w:color="auto"/>
            <w:left w:val="none" w:sz="0" w:space="0" w:color="auto"/>
            <w:bottom w:val="none" w:sz="0" w:space="0" w:color="auto"/>
            <w:right w:val="none" w:sz="0" w:space="0" w:color="auto"/>
          </w:divBdr>
          <w:divsChild>
            <w:div w:id="1287850710">
              <w:marLeft w:val="0"/>
              <w:marRight w:val="0"/>
              <w:marTop w:val="0"/>
              <w:marBottom w:val="0"/>
              <w:divBdr>
                <w:top w:val="none" w:sz="0" w:space="0" w:color="auto"/>
                <w:left w:val="none" w:sz="0" w:space="0" w:color="auto"/>
                <w:bottom w:val="none" w:sz="0" w:space="0" w:color="auto"/>
                <w:right w:val="none" w:sz="0" w:space="0" w:color="auto"/>
              </w:divBdr>
              <w:divsChild>
                <w:div w:id="1563982835">
                  <w:marLeft w:val="0"/>
                  <w:marRight w:val="0"/>
                  <w:marTop w:val="0"/>
                  <w:marBottom w:val="0"/>
                  <w:divBdr>
                    <w:top w:val="none" w:sz="0" w:space="0" w:color="auto"/>
                    <w:left w:val="none" w:sz="0" w:space="0" w:color="auto"/>
                    <w:bottom w:val="none" w:sz="0" w:space="0" w:color="auto"/>
                    <w:right w:val="none" w:sz="0" w:space="0" w:color="auto"/>
                  </w:divBdr>
                  <w:divsChild>
                    <w:div w:id="1986279169">
                      <w:marLeft w:val="-225"/>
                      <w:marRight w:val="-225"/>
                      <w:marTop w:val="0"/>
                      <w:marBottom w:val="0"/>
                      <w:divBdr>
                        <w:top w:val="none" w:sz="0" w:space="0" w:color="auto"/>
                        <w:left w:val="none" w:sz="0" w:space="0" w:color="auto"/>
                        <w:bottom w:val="none" w:sz="0" w:space="0" w:color="auto"/>
                        <w:right w:val="none" w:sz="0" w:space="0" w:color="auto"/>
                      </w:divBdr>
                      <w:divsChild>
                        <w:div w:id="689453073">
                          <w:marLeft w:val="0"/>
                          <w:marRight w:val="0"/>
                          <w:marTop w:val="0"/>
                          <w:marBottom w:val="0"/>
                          <w:divBdr>
                            <w:top w:val="none" w:sz="0" w:space="0" w:color="auto"/>
                            <w:left w:val="none" w:sz="0" w:space="0" w:color="auto"/>
                            <w:bottom w:val="none" w:sz="0" w:space="0" w:color="auto"/>
                            <w:right w:val="none" w:sz="0" w:space="0" w:color="auto"/>
                          </w:divBdr>
                          <w:divsChild>
                            <w:div w:id="108352503">
                              <w:marLeft w:val="0"/>
                              <w:marRight w:val="0"/>
                              <w:marTop w:val="0"/>
                              <w:marBottom w:val="0"/>
                              <w:divBdr>
                                <w:top w:val="none" w:sz="0" w:space="0" w:color="auto"/>
                                <w:left w:val="none" w:sz="0" w:space="0" w:color="auto"/>
                                <w:bottom w:val="none" w:sz="0" w:space="0" w:color="auto"/>
                                <w:right w:val="none" w:sz="0" w:space="0" w:color="auto"/>
                              </w:divBdr>
                              <w:divsChild>
                                <w:div w:id="1283880855">
                                  <w:marLeft w:val="0"/>
                                  <w:marRight w:val="0"/>
                                  <w:marTop w:val="0"/>
                                  <w:marBottom w:val="0"/>
                                  <w:divBdr>
                                    <w:top w:val="none" w:sz="0" w:space="0" w:color="auto"/>
                                    <w:left w:val="none" w:sz="0" w:space="0" w:color="auto"/>
                                    <w:bottom w:val="none" w:sz="0" w:space="0" w:color="auto"/>
                                    <w:right w:val="none" w:sz="0" w:space="0" w:color="auto"/>
                                  </w:divBdr>
                                </w:div>
                              </w:divsChild>
                            </w:div>
                            <w:div w:id="1756703865">
                              <w:marLeft w:val="0"/>
                              <w:marRight w:val="0"/>
                              <w:marTop w:val="0"/>
                              <w:marBottom w:val="0"/>
                              <w:divBdr>
                                <w:top w:val="none" w:sz="0" w:space="0" w:color="auto"/>
                                <w:left w:val="none" w:sz="0" w:space="0" w:color="auto"/>
                                <w:bottom w:val="none" w:sz="0" w:space="0" w:color="auto"/>
                                <w:right w:val="none" w:sz="0" w:space="0" w:color="auto"/>
                              </w:divBdr>
                              <w:divsChild>
                                <w:div w:id="512040661">
                                  <w:marLeft w:val="0"/>
                                  <w:marRight w:val="0"/>
                                  <w:marTop w:val="0"/>
                                  <w:marBottom w:val="0"/>
                                  <w:divBdr>
                                    <w:top w:val="none" w:sz="0" w:space="0" w:color="auto"/>
                                    <w:left w:val="none" w:sz="0" w:space="0" w:color="auto"/>
                                    <w:bottom w:val="none" w:sz="0" w:space="0" w:color="auto"/>
                                    <w:right w:val="none" w:sz="0" w:space="0" w:color="auto"/>
                                  </w:divBdr>
                                  <w:divsChild>
                                    <w:div w:id="1893030325">
                                      <w:marLeft w:val="0"/>
                                      <w:marRight w:val="0"/>
                                      <w:marTop w:val="0"/>
                                      <w:marBottom w:val="0"/>
                                      <w:divBdr>
                                        <w:top w:val="none" w:sz="0" w:space="0" w:color="auto"/>
                                        <w:left w:val="none" w:sz="0" w:space="0" w:color="auto"/>
                                        <w:bottom w:val="none" w:sz="0" w:space="0" w:color="auto"/>
                                        <w:right w:val="none" w:sz="0" w:space="0" w:color="auto"/>
                                      </w:divBdr>
                                      <w:divsChild>
                                        <w:div w:id="1257714341">
                                          <w:marLeft w:val="0"/>
                                          <w:marRight w:val="0"/>
                                          <w:marTop w:val="30"/>
                                          <w:marBottom w:val="0"/>
                                          <w:divBdr>
                                            <w:top w:val="none" w:sz="0" w:space="0" w:color="auto"/>
                                            <w:left w:val="none" w:sz="0" w:space="0" w:color="auto"/>
                                            <w:bottom w:val="none" w:sz="0" w:space="0" w:color="auto"/>
                                            <w:right w:val="none" w:sz="0" w:space="0" w:color="auto"/>
                                          </w:divBdr>
                                          <w:divsChild>
                                            <w:div w:id="1214075344">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6153498">
                              <w:marLeft w:val="0"/>
                              <w:marRight w:val="0"/>
                              <w:marTop w:val="0"/>
                              <w:marBottom w:val="0"/>
                              <w:divBdr>
                                <w:top w:val="none" w:sz="0" w:space="0" w:color="auto"/>
                                <w:left w:val="none" w:sz="0" w:space="0" w:color="auto"/>
                                <w:bottom w:val="none" w:sz="0" w:space="0" w:color="auto"/>
                                <w:right w:val="none" w:sz="0" w:space="0" w:color="auto"/>
                              </w:divBdr>
                              <w:divsChild>
                                <w:div w:id="2016614422">
                                  <w:marLeft w:val="0"/>
                                  <w:marRight w:val="0"/>
                                  <w:marTop w:val="0"/>
                                  <w:marBottom w:val="0"/>
                                  <w:divBdr>
                                    <w:top w:val="none" w:sz="0" w:space="0" w:color="auto"/>
                                    <w:left w:val="none" w:sz="0" w:space="0" w:color="auto"/>
                                    <w:bottom w:val="none" w:sz="0" w:space="0" w:color="auto"/>
                                    <w:right w:val="none" w:sz="0" w:space="0" w:color="auto"/>
                                  </w:divBdr>
                                  <w:divsChild>
                                    <w:div w:id="875433821">
                                      <w:marLeft w:val="0"/>
                                      <w:marRight w:val="0"/>
                                      <w:marTop w:val="0"/>
                                      <w:marBottom w:val="0"/>
                                      <w:divBdr>
                                        <w:top w:val="none" w:sz="0" w:space="0" w:color="auto"/>
                                        <w:left w:val="none" w:sz="0" w:space="0" w:color="auto"/>
                                        <w:bottom w:val="none" w:sz="0" w:space="0" w:color="auto"/>
                                        <w:right w:val="none" w:sz="0" w:space="0" w:color="auto"/>
                                      </w:divBdr>
                                      <w:divsChild>
                                        <w:div w:id="1883244616">
                                          <w:marLeft w:val="0"/>
                                          <w:marRight w:val="0"/>
                                          <w:marTop w:val="30"/>
                                          <w:marBottom w:val="0"/>
                                          <w:divBdr>
                                            <w:top w:val="none" w:sz="0" w:space="0" w:color="auto"/>
                                            <w:left w:val="none" w:sz="0" w:space="0" w:color="auto"/>
                                            <w:bottom w:val="none" w:sz="0" w:space="0" w:color="auto"/>
                                            <w:right w:val="none" w:sz="0" w:space="0" w:color="auto"/>
                                          </w:divBdr>
                                          <w:divsChild>
                                            <w:div w:id="706564364">
                                              <w:marLeft w:val="60"/>
                                              <w:marRight w:val="60"/>
                                              <w:marTop w:val="0"/>
                                              <w:marBottom w:val="75"/>
                                              <w:divBdr>
                                                <w:top w:val="none" w:sz="0" w:space="0" w:color="auto"/>
                                                <w:left w:val="none" w:sz="0" w:space="0" w:color="auto"/>
                                                <w:bottom w:val="none" w:sz="0" w:space="0" w:color="auto"/>
                                                <w:right w:val="none" w:sz="0" w:space="0" w:color="auto"/>
                                              </w:divBdr>
                                            </w:div>
                                            <w:div w:id="1641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7632">
                              <w:marLeft w:val="0"/>
                              <w:marRight w:val="0"/>
                              <w:marTop w:val="0"/>
                              <w:marBottom w:val="0"/>
                              <w:divBdr>
                                <w:top w:val="none" w:sz="0" w:space="0" w:color="auto"/>
                                <w:left w:val="none" w:sz="0" w:space="0" w:color="auto"/>
                                <w:bottom w:val="none" w:sz="0" w:space="0" w:color="auto"/>
                                <w:right w:val="none" w:sz="0" w:space="0" w:color="auto"/>
                              </w:divBdr>
                              <w:divsChild>
                                <w:div w:id="897664393">
                                  <w:marLeft w:val="0"/>
                                  <w:marRight w:val="0"/>
                                  <w:marTop w:val="0"/>
                                  <w:marBottom w:val="0"/>
                                  <w:divBdr>
                                    <w:top w:val="none" w:sz="0" w:space="0" w:color="auto"/>
                                    <w:left w:val="none" w:sz="0" w:space="0" w:color="auto"/>
                                    <w:bottom w:val="none" w:sz="0" w:space="0" w:color="auto"/>
                                    <w:right w:val="none" w:sz="0" w:space="0" w:color="auto"/>
                                  </w:divBdr>
                                  <w:divsChild>
                                    <w:div w:id="1390110819">
                                      <w:marLeft w:val="0"/>
                                      <w:marRight w:val="0"/>
                                      <w:marTop w:val="0"/>
                                      <w:marBottom w:val="0"/>
                                      <w:divBdr>
                                        <w:top w:val="none" w:sz="0" w:space="0" w:color="auto"/>
                                        <w:left w:val="none" w:sz="0" w:space="0" w:color="auto"/>
                                        <w:bottom w:val="none" w:sz="0" w:space="0" w:color="auto"/>
                                        <w:right w:val="none" w:sz="0" w:space="0" w:color="auto"/>
                                      </w:divBdr>
                                      <w:divsChild>
                                        <w:div w:id="700202848">
                                          <w:marLeft w:val="0"/>
                                          <w:marRight w:val="0"/>
                                          <w:marTop w:val="30"/>
                                          <w:marBottom w:val="0"/>
                                          <w:divBdr>
                                            <w:top w:val="none" w:sz="0" w:space="0" w:color="auto"/>
                                            <w:left w:val="none" w:sz="0" w:space="0" w:color="auto"/>
                                            <w:bottom w:val="none" w:sz="0" w:space="0" w:color="auto"/>
                                            <w:right w:val="none" w:sz="0" w:space="0" w:color="auto"/>
                                          </w:divBdr>
                                          <w:divsChild>
                                            <w:div w:id="918096070">
                                              <w:marLeft w:val="60"/>
                                              <w:marRight w:val="60"/>
                                              <w:marTop w:val="0"/>
                                              <w:marBottom w:val="75"/>
                                              <w:divBdr>
                                                <w:top w:val="none" w:sz="0" w:space="0" w:color="auto"/>
                                                <w:left w:val="none" w:sz="0" w:space="0" w:color="auto"/>
                                                <w:bottom w:val="none" w:sz="0" w:space="0" w:color="auto"/>
                                                <w:right w:val="none" w:sz="0" w:space="0" w:color="auto"/>
                                              </w:divBdr>
                                            </w:div>
                                            <w:div w:id="1745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5055">
                      <w:marLeft w:val="0"/>
                      <w:marRight w:val="0"/>
                      <w:marTop w:val="0"/>
                      <w:marBottom w:val="0"/>
                      <w:divBdr>
                        <w:top w:val="none" w:sz="0" w:space="0" w:color="auto"/>
                        <w:left w:val="none" w:sz="0" w:space="0" w:color="auto"/>
                        <w:bottom w:val="none" w:sz="0" w:space="0" w:color="auto"/>
                        <w:right w:val="none" w:sz="0" w:space="0" w:color="auto"/>
                      </w:divBdr>
                      <w:divsChild>
                        <w:div w:id="173346755">
                          <w:marLeft w:val="0"/>
                          <w:marRight w:val="0"/>
                          <w:marTop w:val="0"/>
                          <w:marBottom w:val="0"/>
                          <w:divBdr>
                            <w:top w:val="none" w:sz="0" w:space="0" w:color="auto"/>
                            <w:left w:val="none" w:sz="0" w:space="0" w:color="auto"/>
                            <w:bottom w:val="none" w:sz="0" w:space="0" w:color="auto"/>
                            <w:right w:val="none" w:sz="0" w:space="0" w:color="auto"/>
                          </w:divBdr>
                          <w:divsChild>
                            <w:div w:id="594630666">
                              <w:marLeft w:val="0"/>
                              <w:marRight w:val="0"/>
                              <w:marTop w:val="0"/>
                              <w:marBottom w:val="0"/>
                              <w:divBdr>
                                <w:top w:val="none" w:sz="0" w:space="0" w:color="auto"/>
                                <w:left w:val="none" w:sz="0" w:space="0" w:color="auto"/>
                                <w:bottom w:val="none" w:sz="0" w:space="0" w:color="auto"/>
                                <w:right w:val="none" w:sz="0" w:space="0" w:color="auto"/>
                              </w:divBdr>
                              <w:divsChild>
                                <w:div w:id="1816681579">
                                  <w:marLeft w:val="0"/>
                                  <w:marRight w:val="0"/>
                                  <w:marTop w:val="150"/>
                                  <w:marBottom w:val="150"/>
                                  <w:divBdr>
                                    <w:top w:val="single" w:sz="6" w:space="7" w:color="E3E3E3"/>
                                    <w:left w:val="none" w:sz="0" w:space="0" w:color="auto"/>
                                    <w:bottom w:val="none" w:sz="0" w:space="0" w:color="auto"/>
                                    <w:right w:val="none" w:sz="0" w:space="0" w:color="auto"/>
                                  </w:divBdr>
                                  <w:divsChild>
                                    <w:div w:id="1124190">
                                      <w:marLeft w:val="-225"/>
                                      <w:marRight w:val="-225"/>
                                      <w:marTop w:val="0"/>
                                      <w:marBottom w:val="0"/>
                                      <w:divBdr>
                                        <w:top w:val="none" w:sz="0" w:space="0" w:color="auto"/>
                                        <w:left w:val="none" w:sz="0" w:space="0" w:color="auto"/>
                                        <w:bottom w:val="none" w:sz="0" w:space="0" w:color="auto"/>
                                        <w:right w:val="none" w:sz="0" w:space="0" w:color="auto"/>
                                      </w:divBdr>
                                      <w:divsChild>
                                        <w:div w:id="1246307073">
                                          <w:marLeft w:val="0"/>
                                          <w:marRight w:val="0"/>
                                          <w:marTop w:val="0"/>
                                          <w:marBottom w:val="0"/>
                                          <w:divBdr>
                                            <w:top w:val="none" w:sz="0" w:space="0" w:color="auto"/>
                                            <w:left w:val="none" w:sz="0" w:space="0" w:color="auto"/>
                                            <w:bottom w:val="none" w:sz="0" w:space="0" w:color="auto"/>
                                            <w:right w:val="none" w:sz="0" w:space="0" w:color="auto"/>
                                          </w:divBdr>
                                        </w:div>
                                      </w:divsChild>
                                    </w:div>
                                    <w:div w:id="2096197402">
                                      <w:marLeft w:val="-225"/>
                                      <w:marRight w:val="-225"/>
                                      <w:marTop w:val="0"/>
                                      <w:marBottom w:val="0"/>
                                      <w:divBdr>
                                        <w:top w:val="none" w:sz="0" w:space="0" w:color="auto"/>
                                        <w:left w:val="none" w:sz="0" w:space="0" w:color="auto"/>
                                        <w:bottom w:val="none" w:sz="0" w:space="0" w:color="auto"/>
                                        <w:right w:val="none" w:sz="0" w:space="0" w:color="auto"/>
                                      </w:divBdr>
                                      <w:divsChild>
                                        <w:div w:id="1697388575">
                                          <w:marLeft w:val="0"/>
                                          <w:marRight w:val="0"/>
                                          <w:marTop w:val="0"/>
                                          <w:marBottom w:val="0"/>
                                          <w:divBdr>
                                            <w:top w:val="none" w:sz="0" w:space="0" w:color="auto"/>
                                            <w:left w:val="none" w:sz="0" w:space="0" w:color="auto"/>
                                            <w:bottom w:val="none" w:sz="0" w:space="0" w:color="auto"/>
                                            <w:right w:val="none" w:sz="0" w:space="0" w:color="auto"/>
                                          </w:divBdr>
                                          <w:divsChild>
                                            <w:div w:id="16315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394581B55BAE63AC69A4BC6F492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ojs.academicon.pl/tkppan/article/view/10205/1057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4.xml><?xml version="1.0" encoding="utf-8"?>
<ds:datastoreItem xmlns:ds="http://schemas.openxmlformats.org/officeDocument/2006/customXml" ds:itemID="{3DD83A1F-23B9-4D7D-AF75-A72F0A8A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1861</Words>
  <Characters>10608</Characters>
  <Application>Microsoft Office Word</Application>
  <DocSecurity>0</DocSecurity>
  <Lines>88</Lines>
  <Paragraphs>24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Trnavska univerzita</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2026-01-18T17:30:00Z</dcterms:created>
  <dcterms:modified xsi:type="dcterms:W3CDTF">2026-01-20T08:24:00Z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