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4"/>
        <w:gridCol w:w="5211"/>
      </w:tblGrid>
      <w:tr w:rsidRPr="00FF6B5A" w:rsidR="00FF6B5A" w:rsidTr="68118F84"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68118F84"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68118F84"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68118F84"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68118F84"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68118F84"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68118F84"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68118F84"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341A25"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68118F84"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341A25"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68118F84"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341A25"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68118F84"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341A25"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68118F84"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341A25"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68118F84"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341A25"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68118F84"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68118F84" w:rsidRDefault="00C40D4D" w14:paraId="161A3531" w14:textId="4C0F887D">
            <w:pPr>
              <w:pStyle w:val="Normlny"/>
              <w:spacing w:after="0" w:line="240" w:lineRule="auto"/>
              <w:rPr>
                <w:rFonts w:ascii="Calibri" w:hAnsi="Calibri" w:eastAsia="Calibri" w:cs="Calibri"/>
                <w:noProof w:val="0"/>
                <w:sz w:val="22"/>
                <w:szCs w:val="22"/>
                <w:lang w:val="sk-SK"/>
              </w:rPr>
            </w:pPr>
            <w:r w:rsidRPr="68118F84" w:rsidR="2AF8EB72">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68118F84"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341A25"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68118F84"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3255E67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BA7E06">
              <w:rPr>
                <w:rFonts w:ascii="Calibri" w:hAnsi="Calibri" w:eastAsia="Times New Roman" w:cs="Times New Roman"/>
                <w:color w:val="000000"/>
                <w:lang w:eastAsia="sk-SK"/>
              </w:rPr>
              <w:t>9</w:t>
            </w:r>
          </w:p>
        </w:tc>
      </w:tr>
      <w:tr w:rsidRPr="00FF6B5A" w:rsidR="00FF6B5A" w:rsidTr="68118F84"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1A25"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BA7E06" w14:paraId="62DAF778" w14:textId="3F4158EC">
            <w:pPr>
              <w:spacing w:after="0" w:line="240" w:lineRule="auto"/>
              <w:rPr>
                <w:rFonts w:ascii="Calibri" w:hAnsi="Calibri" w:eastAsia="Times New Roman" w:cs="Times New Roman"/>
                <w:color w:val="000000"/>
                <w:lang w:eastAsia="sk-SK"/>
              </w:rPr>
            </w:pPr>
            <w:r w:rsidRPr="00BA7E06">
              <w:rPr>
                <w:rFonts w:ascii="Calibri" w:hAnsi="Calibri" w:eastAsia="Times New Roman" w:cs="Times New Roman"/>
                <w:color w:val="000000"/>
                <w:lang w:eastAsia="sk-SK"/>
              </w:rPr>
              <w:lastRenderedPageBreak/>
              <w:t xml:space="preserve">ID: 212877 | </w:t>
            </w:r>
            <w:r w:rsidRPr="00BA7E06">
              <w:rPr>
                <w:rFonts w:ascii="Calibri" w:hAnsi="Calibri" w:eastAsia="Times New Roman" w:cs="Times New Roman"/>
                <w:b/>
                <w:bCs/>
                <w:color w:val="000000"/>
                <w:lang w:eastAsia="sk-SK"/>
              </w:rPr>
              <w:t>Directio methodica v dejinách uhorského procesného práva</w:t>
            </w:r>
            <w:r w:rsidRPr="00BA7E06">
              <w:rPr>
                <w:rFonts w:ascii="Calibri" w:hAnsi="Calibri" w:eastAsia="Times New Roman" w:cs="Times New Roman"/>
                <w:color w:val="000000"/>
                <w:lang w:eastAsia="sk-SK"/>
              </w:rPr>
              <w:t xml:space="preserve"> [textový dokument (print)] / Gábriš, Tomáš [Autor, 100%] ; Švecová, Adriana [Recenzent] ; Laclavíková, Miriam [Recenzent] ; Letková, Alexandra </w:t>
            </w:r>
            <w:r w:rsidRPr="00BA7E06">
              <w:rPr>
                <w:rFonts w:ascii="Calibri" w:hAnsi="Calibri" w:eastAsia="Times New Roman" w:cs="Times New Roman"/>
                <w:color w:val="000000"/>
                <w:lang w:eastAsia="sk-SK"/>
              </w:rPr>
              <w:lastRenderedPageBreak/>
              <w:t>[Recenzent]. – 1. vyd. – Bratislava (Slovensko) : Wolters Kluwer. Wolters Kluwer SR, 2019. – 543 s. [tlačená forma]. – ISBN 978-80-571-0148-2</w:t>
            </w:r>
          </w:p>
        </w:tc>
      </w:tr>
      <w:tr w:rsidRPr="00FF6B5A" w:rsidR="00FF6B5A" w:rsidTr="68118F84"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1A25"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BA7E06" w:rsidP="00FE27EC" w:rsidRDefault="00BA7E06" w14:paraId="57628ADC" w14:textId="59CB1774">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https://app.crepc.sk/?fn</w:t>
            </w:r>
          </w:p>
          <w:p w:rsidR="00255F31" w:rsidP="00FE27EC" w:rsidRDefault="00BA7E06" w14:paraId="1A0725E8" w14:textId="77777777">
            <w:pPr>
              <w:spacing w:after="0" w:line="240" w:lineRule="auto"/>
              <w:rPr>
                <w:rFonts w:ascii="Calibri" w:hAnsi="Calibri" w:eastAsia="Times New Roman" w:cs="Times New Roman"/>
                <w:color w:val="000000"/>
                <w:lang w:eastAsia="sk-SK"/>
              </w:rPr>
            </w:pPr>
            <w:r w:rsidRPr="00BA7E06">
              <w:rPr>
                <w:rFonts w:ascii="Calibri" w:hAnsi="Calibri" w:eastAsia="Times New Roman" w:cs="Times New Roman"/>
                <w:color w:val="000000"/>
                <w:lang w:eastAsia="sk-SK"/>
              </w:rPr>
              <w:t>=detailBiblioForm&amp;sid=</w:t>
            </w:r>
          </w:p>
          <w:p w:rsidRPr="00FF6B5A" w:rsidR="00FF6B5A" w:rsidP="00FE27EC" w:rsidRDefault="00BA7E06" w14:paraId="12D02A45" w14:textId="1656C66E">
            <w:pPr>
              <w:spacing w:after="0" w:line="240" w:lineRule="auto"/>
              <w:rPr>
                <w:rFonts w:ascii="Calibri" w:hAnsi="Calibri" w:eastAsia="Times New Roman" w:cs="Times New Roman"/>
                <w:color w:val="000000"/>
                <w:lang w:eastAsia="sk-SK"/>
              </w:rPr>
            </w:pPr>
            <w:r w:rsidRPr="00BA7E06">
              <w:rPr>
                <w:rFonts w:ascii="Calibri" w:hAnsi="Calibri" w:eastAsia="Times New Roman" w:cs="Times New Roman"/>
                <w:color w:val="000000"/>
                <w:lang w:eastAsia="sk-SK"/>
              </w:rPr>
              <w:t>31B81341D84CFED634CAB2027B</w:t>
            </w:r>
          </w:p>
        </w:tc>
      </w:tr>
      <w:tr w:rsidRPr="00FF6B5A" w:rsidR="00C86832" w:rsidTr="68118F84"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68118F84"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341A25"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68118F84"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341A25"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68118F84"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68118F84"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341A25"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v slovenskom jazyku / Range up </w:t>
              </w:r>
              <w:r w:rsidRPr="00FF6B5A" w:rsidR="00FF6B5A">
                <w:rPr>
                  <w:rFonts w:ascii="Calibri" w:hAnsi="Calibri" w:eastAsia="Times New Roman" w:cs="Times New Roman"/>
                  <w:i/>
                  <w:iCs/>
                  <w:color w:val="808080"/>
                  <w:lang w:eastAsia="sk-SK"/>
                </w:rPr>
                <w:lastRenderedPageBreak/>
                <w:t>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68118F84"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1A25"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2AC7663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D5DB9">
              <w:rPr>
                <w:rFonts w:ascii="Calibri" w:hAnsi="Calibri" w:eastAsia="Times New Roman" w:cs="Times New Roman"/>
                <w:color w:val="000000"/>
                <w:lang w:eastAsia="sk-SK"/>
              </w:rPr>
              <w:t>The book contains and in-depth analysis of the treatise on Hungarial procedural law from 1619, as well as the translation of the treatise into Slovak language. The book has not been previously translated and analysed in Slovak legal scholarship, nor in the historical scholarship. Its importance consists in the fact of having been used in legal practice between 1619 and 1723 (partially up to 1848), reflecting both practical and theoretical issues in procedural law of the period.</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68118F84"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255F31" w:rsidP="00255F31" w:rsidRDefault="00255F31" w14:paraId="6C2152B5" w14:textId="4F79A470">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2021 [1] JURÍKOVÁ, E. – MIŠEKOVÁ, J. The significance of the production of books at the historical Trnava university for the development of science and literature on the territory of the present-day Slovakia from the perspective of research conducted over the last two decades. In Z Badań nad Ksiażka i Ksiegozbiorami Historycznymi, roč. 15, č. 3, 2021, s. 375-393. ISSN 1897-0788 - SCOPUS.</w:t>
            </w:r>
          </w:p>
          <w:p w:rsidRPr="00255F31" w:rsidR="00255F31" w:rsidP="00255F31" w:rsidRDefault="00255F31" w14:paraId="556ECDA2" w14:textId="4202858E">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2020 [</w:t>
            </w:r>
            <w:r>
              <w:rPr>
                <w:rFonts w:ascii="Calibri" w:hAnsi="Calibri" w:eastAsia="Times New Roman" w:cs="Times New Roman"/>
                <w:color w:val="000000"/>
                <w:lang w:eastAsia="sk-SK"/>
              </w:rPr>
              <w:t>2</w:t>
            </w:r>
            <w:r w:rsidRPr="00255F31">
              <w:rPr>
                <w:rFonts w:ascii="Calibri" w:hAnsi="Calibri" w:eastAsia="Times New Roman" w:cs="Times New Roman"/>
                <w:color w:val="000000"/>
                <w:lang w:eastAsia="sk-SK"/>
              </w:rPr>
              <w:t>] LACLAVÍKOVÁ, M. – ŠVECOVÁ, A. Žena v stredovekom a novovekom Uhorsku. Praha : Leges, 2020, s. 20,25,26,28,41,42,140. ISBN 978-80-7502-458-9</w:t>
            </w:r>
          </w:p>
          <w:p w:rsidR="00981CD1" w:rsidP="00255F31" w:rsidRDefault="00255F31" w14:paraId="5C076D24" w14:textId="73AE4498">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2020 [</w:t>
            </w:r>
            <w:r>
              <w:rPr>
                <w:rFonts w:ascii="Calibri" w:hAnsi="Calibri" w:eastAsia="Times New Roman" w:cs="Times New Roman"/>
                <w:color w:val="000000"/>
                <w:lang w:eastAsia="sk-SK"/>
              </w:rPr>
              <w:t>3</w:t>
            </w:r>
            <w:r w:rsidRPr="00255F31">
              <w:rPr>
                <w:rFonts w:ascii="Calibri" w:hAnsi="Calibri" w:eastAsia="Times New Roman" w:cs="Times New Roman"/>
                <w:color w:val="000000"/>
                <w:lang w:eastAsia="sk-SK"/>
              </w:rPr>
              <w:t>] KROŠLÁK, D. - BALOG, B. - SURMAJOVÁ, Ž. Teória štátu a práva. Bratislava : Wolters Kluwer, 2020, s. 185,323. ISBN 978-80-571-0275-5. - Spôsob prístupu: http://ukftp.truni.sk/epc/16458.pdf</w:t>
            </w:r>
          </w:p>
          <w:p w:rsidR="001C2BCC" w:rsidP="001C2BCC" w:rsidRDefault="001C2BCC" w14:paraId="5C70CE89" w14:textId="704A2F61">
            <w:pPr>
              <w:spacing w:after="0" w:line="240" w:lineRule="auto"/>
              <w:rPr>
                <w:rFonts w:ascii="Calibri" w:hAnsi="Calibri" w:eastAsia="Times New Roman" w:cs="Times New Roman"/>
                <w:color w:val="000000"/>
                <w:lang w:eastAsia="sk-SK"/>
              </w:rPr>
            </w:pP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68118F84"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688DE6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D5DB9">
              <w:rPr>
                <w:rFonts w:ascii="Calibri" w:hAnsi="Calibri" w:eastAsia="Times New Roman" w:cs="Times New Roman"/>
                <w:color w:val="000000"/>
                <w:lang w:eastAsia="sk-SK"/>
              </w:rPr>
              <w:t>Dielo predstavuje preklad a analýzu príručky procesného práva z roku 1619, pri príležitosti 400. výročia tohto diela. Ponúka poznanie dobového civilného aj trestného procesu, a zároveň poukazuje na stav vedy procesného práva v 17. storočí, ktorá riešila obdobné právne problémy ako súčasné procesné právo.</w:t>
            </w:r>
          </w:p>
          <w:p w:rsidRPr="00FF6B5A" w:rsidR="00C42D11" w:rsidP="00FF6B5A" w:rsidRDefault="00C42D11" w14:paraId="5B04B4AC" w14:textId="53E203D7">
            <w:pPr>
              <w:spacing w:after="0" w:line="240" w:lineRule="auto"/>
              <w:rPr>
                <w:rFonts w:ascii="Calibri" w:hAnsi="Calibri" w:eastAsia="Times New Roman" w:cs="Times New Roman"/>
                <w:color w:val="000000"/>
                <w:lang w:eastAsia="sk-SK"/>
              </w:rPr>
            </w:pPr>
            <w:r w:rsidRPr="00C42D11">
              <w:rPr>
                <w:rFonts w:ascii="Calibri" w:hAnsi="Calibri" w:eastAsia="Times New Roman" w:cs="Times New Roman"/>
                <w:color w:val="000000"/>
                <w:lang w:eastAsia="sk-SK"/>
              </w:rPr>
              <w:t xml:space="preserve">The work presents a translation and analysis of a handbook of procedural law from 1619, on the occasion of the 400th anniversary of this work. It offers knowledge of contemporary civil and criminal proceedings, and at the same time points to the state of the science of procedural law in the 17th century, which </w:t>
            </w:r>
            <w:r w:rsidRPr="00C42D11">
              <w:rPr>
                <w:rFonts w:ascii="Calibri" w:hAnsi="Calibri" w:eastAsia="Times New Roman" w:cs="Times New Roman"/>
                <w:color w:val="000000"/>
                <w:lang w:eastAsia="sk-SK"/>
              </w:rPr>
              <w:lastRenderedPageBreak/>
              <w:t>solved similar legal problems as the current procedural law.</w:t>
            </w:r>
          </w:p>
        </w:tc>
      </w:tr>
      <w:tr w:rsidRPr="00FF6B5A" w:rsidR="00FF6B5A" w:rsidTr="68118F84"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0E798BE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42D11">
              <w:rPr>
                <w:rFonts w:ascii="Calibri" w:hAnsi="Calibri" w:eastAsia="Times New Roman" w:cs="Times New Roman"/>
                <w:color w:val="000000"/>
                <w:lang w:eastAsia="sk-SK"/>
              </w:rPr>
              <w:t>Výsledky výskumu sú priamo využívané vo výučbe predmetu Dejiny práva na území Slovenska, v rámci učebných textov aj v rámci prednášok a cvičení.</w:t>
            </w:r>
          </w:p>
          <w:p w:rsidRPr="00FF6B5A" w:rsidR="00C42D11" w:rsidP="00FF6B5A" w:rsidRDefault="00C42D11" w14:paraId="21BF31D5" w14:textId="373BA90C">
            <w:pPr>
              <w:spacing w:after="0" w:line="240" w:lineRule="auto"/>
              <w:rPr>
                <w:rFonts w:ascii="Calibri" w:hAnsi="Calibri" w:eastAsia="Times New Roman" w:cs="Times New Roman"/>
                <w:color w:val="000000"/>
                <w:lang w:eastAsia="sk-SK"/>
              </w:rPr>
            </w:pPr>
            <w:r w:rsidRPr="00C42D11">
              <w:rPr>
                <w:rFonts w:ascii="Calibri" w:hAnsi="Calibri" w:eastAsia="Times New Roman" w:cs="Times New Roman"/>
                <w:color w:val="000000"/>
                <w:lang w:eastAsia="sk-SK"/>
              </w:rPr>
              <w:t xml:space="preserve">The results of the research are directly used in the teaching of the </w:t>
            </w:r>
            <w:r>
              <w:rPr>
                <w:rFonts w:ascii="Calibri" w:hAnsi="Calibri" w:eastAsia="Times New Roman" w:cs="Times New Roman"/>
                <w:color w:val="000000"/>
                <w:lang w:eastAsia="sk-SK"/>
              </w:rPr>
              <w:t>course</w:t>
            </w:r>
            <w:r w:rsidRPr="00C42D11">
              <w:rPr>
                <w:rFonts w:ascii="Calibri" w:hAnsi="Calibri" w:eastAsia="Times New Roman" w:cs="Times New Roman"/>
                <w:color w:val="000000"/>
                <w:lang w:eastAsia="sk-SK"/>
              </w:rPr>
              <w:t xml:space="preserve"> History of Law in</w:t>
            </w:r>
            <w:r>
              <w:rPr>
                <w:rFonts w:ascii="Calibri" w:hAnsi="Calibri" w:eastAsia="Times New Roman" w:cs="Times New Roman"/>
                <w:color w:val="000000"/>
                <w:lang w:eastAsia="sk-SK"/>
              </w:rPr>
              <w:t xml:space="preserve"> the Territory of</w:t>
            </w:r>
            <w:r w:rsidRPr="00C42D11">
              <w:rPr>
                <w:rFonts w:ascii="Calibri" w:hAnsi="Calibri" w:eastAsia="Times New Roman" w:cs="Times New Roman"/>
                <w:color w:val="000000"/>
                <w:lang w:eastAsia="sk-SK"/>
              </w:rPr>
              <w:t xml:space="preserve"> Slovakia, in te</w:t>
            </w:r>
            <w:r>
              <w:rPr>
                <w:rFonts w:ascii="Calibri" w:hAnsi="Calibri" w:eastAsia="Times New Roman" w:cs="Times New Roman"/>
                <w:color w:val="000000"/>
                <w:lang w:eastAsia="sk-SK"/>
              </w:rPr>
              <w:t>x</w:t>
            </w:r>
            <w:r w:rsidRPr="00C42D11">
              <w:rPr>
                <w:rFonts w:ascii="Calibri" w:hAnsi="Calibri" w:eastAsia="Times New Roman" w:cs="Times New Roman"/>
                <w:color w:val="000000"/>
                <w:lang w:eastAsia="sk-SK"/>
              </w:rPr>
              <w:t>t</w:t>
            </w:r>
            <w:r>
              <w:rPr>
                <w:rFonts w:ascii="Calibri" w:hAnsi="Calibri" w:eastAsia="Times New Roman" w:cs="Times New Roman"/>
                <w:color w:val="000000"/>
                <w:lang w:eastAsia="sk-SK"/>
              </w:rPr>
              <w:t>book</w:t>
            </w:r>
            <w:r w:rsidRPr="00C42D11">
              <w:rPr>
                <w:rFonts w:ascii="Calibri" w:hAnsi="Calibri" w:eastAsia="Times New Roman" w:cs="Times New Roman"/>
                <w:color w:val="000000"/>
                <w:lang w:eastAsia="sk-SK"/>
              </w:rPr>
              <w:t>s a</w:t>
            </w:r>
            <w:r>
              <w:rPr>
                <w:rFonts w:ascii="Calibri" w:hAnsi="Calibri" w:eastAsia="Times New Roman" w:cs="Times New Roman"/>
                <w:color w:val="000000"/>
                <w:lang w:eastAsia="sk-SK"/>
              </w:rPr>
              <w:t>s well as</w:t>
            </w:r>
            <w:r w:rsidRPr="00C42D11">
              <w:rPr>
                <w:rFonts w:ascii="Calibri" w:hAnsi="Calibri" w:eastAsia="Times New Roman" w:cs="Times New Roman"/>
                <w:color w:val="000000"/>
                <w:lang w:eastAsia="sk-SK"/>
              </w:rPr>
              <w:t xml:space="preserve"> in lectures and </w:t>
            </w:r>
            <w:r>
              <w:rPr>
                <w:rFonts w:ascii="Calibri" w:hAnsi="Calibri" w:eastAsia="Times New Roman" w:cs="Times New Roman"/>
                <w:color w:val="000000"/>
                <w:lang w:eastAsia="sk-SK"/>
              </w:rPr>
              <w:t>seminars</w:t>
            </w:r>
            <w:r w:rsidRPr="00C42D11">
              <w:rPr>
                <w:rFonts w:ascii="Calibri" w:hAnsi="Calibri" w:eastAsia="Times New Roman" w:cs="Times New Roman"/>
                <w:color w:val="000000"/>
                <w:lang w:eastAsia="sk-SK"/>
              </w:rPr>
              <w:t>.</w:t>
            </w:r>
          </w:p>
        </w:tc>
      </w:tr>
      <w:tr w:rsidRPr="00FF6B5A" w:rsidR="00FF6B5A" w:rsidTr="68118F84"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A25" w:rsidP="00816E73" w:rsidRDefault="00341A25" w14:paraId="26B514E2" w14:textId="77777777">
      <w:pPr>
        <w:spacing w:after="0" w:line="240" w:lineRule="auto"/>
      </w:pPr>
      <w:r>
        <w:separator/>
      </w:r>
    </w:p>
  </w:endnote>
  <w:endnote w:type="continuationSeparator" w:id="0">
    <w:p w:rsidR="00341A25" w:rsidP="00816E73" w:rsidRDefault="00341A25" w14:paraId="69D6E3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A25" w:rsidP="00816E73" w:rsidRDefault="00341A25" w14:paraId="3C239F44" w14:textId="77777777">
      <w:pPr>
        <w:spacing w:after="0" w:line="240" w:lineRule="auto"/>
      </w:pPr>
      <w:r>
        <w:separator/>
      </w:r>
    </w:p>
  </w:footnote>
  <w:footnote w:type="continuationSeparator" w:id="0">
    <w:p w:rsidR="00341A25" w:rsidP="00816E73" w:rsidRDefault="00341A25" w14:paraId="7FA84995"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C2BCC"/>
    <w:rsid w:val="001F26CD"/>
    <w:rsid w:val="00222794"/>
    <w:rsid w:val="00255F31"/>
    <w:rsid w:val="002F3010"/>
    <w:rsid w:val="00317804"/>
    <w:rsid w:val="00341A25"/>
    <w:rsid w:val="00422600"/>
    <w:rsid w:val="00431A2A"/>
    <w:rsid w:val="004D5CBD"/>
    <w:rsid w:val="004E4845"/>
    <w:rsid w:val="00502F15"/>
    <w:rsid w:val="00532FE9"/>
    <w:rsid w:val="00572798"/>
    <w:rsid w:val="00675F63"/>
    <w:rsid w:val="006849EB"/>
    <w:rsid w:val="00816E73"/>
    <w:rsid w:val="00852CC7"/>
    <w:rsid w:val="008B78D7"/>
    <w:rsid w:val="008E2108"/>
    <w:rsid w:val="009547F9"/>
    <w:rsid w:val="00974012"/>
    <w:rsid w:val="00975300"/>
    <w:rsid w:val="00980601"/>
    <w:rsid w:val="00981CD1"/>
    <w:rsid w:val="00991820"/>
    <w:rsid w:val="00A23768"/>
    <w:rsid w:val="00B15040"/>
    <w:rsid w:val="00B72EC4"/>
    <w:rsid w:val="00B85C8E"/>
    <w:rsid w:val="00BA1526"/>
    <w:rsid w:val="00BA7E06"/>
    <w:rsid w:val="00C40D4D"/>
    <w:rsid w:val="00C42D11"/>
    <w:rsid w:val="00C86832"/>
    <w:rsid w:val="00D64B7C"/>
    <w:rsid w:val="00D733AB"/>
    <w:rsid w:val="00DD5DB9"/>
    <w:rsid w:val="00DF77E6"/>
    <w:rsid w:val="00EC403D"/>
    <w:rsid w:val="00FE27EC"/>
    <w:rsid w:val="00FF6B5A"/>
    <w:rsid w:val="2AF8EB72"/>
    <w:rsid w:val="68118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BFA68BA2-E09F-45D9-B05F-D1004F452C91}"/>
</file>

<file path=customXml/itemProps3.xml><?xml version="1.0" encoding="utf-8"?>
<ds:datastoreItem xmlns:ds="http://schemas.openxmlformats.org/officeDocument/2006/customXml" ds:itemID="{4E51A5AB-E3B6-4F13-8A03-D67FB0A4059A}"/>
</file>

<file path=customXml/itemProps4.xml><?xml version="1.0" encoding="utf-8"?>
<ds:datastoreItem xmlns:ds="http://schemas.openxmlformats.org/officeDocument/2006/customXml" ds:itemID="{8C8B17D7-E3D3-4EB9-9BC4-A15530F44E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2022-01-12T09:55:00Z</dcterms:created>
  <dcterms:modified xsi:type="dcterms:W3CDTF">2022-01-27T17:31:58Z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