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5"/>
        <w:gridCol w:w="2136"/>
        <w:gridCol w:w="7206"/>
      </w:tblGrid>
      <w:tr w:rsidR="00FF6B5A" w:rsidRPr="00FF6B5A" w14:paraId="38D0CD8E" w14:textId="77777777" w:rsidTr="3D944358">
        <w:trPr>
          <w:trHeight w:val="204"/>
        </w:trPr>
        <w:tc>
          <w:tcPr>
            <w:tcW w:w="0" w:type="auto"/>
            <w:shd w:val="clear" w:color="auto" w:fill="auto"/>
            <w:vAlign w:val="bottom"/>
            <w:hideMark/>
          </w:tcPr>
          <w:p w14:paraId="06684C6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A475A3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E5BD6A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44792A0"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53F6ED05" w14:textId="77777777" w:rsidTr="3D944358">
        <w:trPr>
          <w:trHeight w:val="450"/>
        </w:trPr>
        <w:tc>
          <w:tcPr>
            <w:tcW w:w="0" w:type="auto"/>
            <w:shd w:val="clear" w:color="auto" w:fill="auto"/>
            <w:vAlign w:val="center"/>
            <w:hideMark/>
          </w:tcPr>
          <w:p w14:paraId="3D6A9AB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3DBE98C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724038A" w14:textId="77777777" w:rsidTr="3D944358">
        <w:trPr>
          <w:trHeight w:val="450"/>
        </w:trPr>
        <w:tc>
          <w:tcPr>
            <w:tcW w:w="0" w:type="auto"/>
            <w:shd w:val="clear" w:color="auto" w:fill="auto"/>
            <w:vAlign w:val="center"/>
            <w:hideMark/>
          </w:tcPr>
          <w:p w14:paraId="42EFA88A"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7F219A29"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03B92B4F" w14:textId="77777777" w:rsidTr="3D944358">
        <w:trPr>
          <w:trHeight w:val="60"/>
        </w:trPr>
        <w:tc>
          <w:tcPr>
            <w:tcW w:w="0" w:type="auto"/>
            <w:shd w:val="clear" w:color="auto" w:fill="auto"/>
            <w:vAlign w:val="bottom"/>
            <w:hideMark/>
          </w:tcPr>
          <w:p w14:paraId="4BA8ADA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211AEEC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14745F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653463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6D5473D5" w14:textId="77777777" w:rsidTr="3D944358">
        <w:trPr>
          <w:trHeight w:val="375"/>
        </w:trPr>
        <w:tc>
          <w:tcPr>
            <w:tcW w:w="0" w:type="auto"/>
            <w:shd w:val="clear" w:color="auto" w:fill="auto"/>
            <w:vAlign w:val="bottom"/>
            <w:hideMark/>
          </w:tcPr>
          <w:p w14:paraId="71BF372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FB4FCD6"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5D274F5F" w14:textId="77777777" w:rsidTr="3D944358">
        <w:trPr>
          <w:trHeight w:val="375"/>
        </w:trPr>
        <w:tc>
          <w:tcPr>
            <w:tcW w:w="0" w:type="auto"/>
            <w:shd w:val="clear" w:color="auto" w:fill="auto"/>
            <w:vAlign w:val="bottom"/>
            <w:hideMark/>
          </w:tcPr>
          <w:p w14:paraId="5BECA74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20D9C355"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0B7CF3D" w14:textId="77777777" w:rsidTr="3D944358">
        <w:trPr>
          <w:trHeight w:val="90"/>
        </w:trPr>
        <w:tc>
          <w:tcPr>
            <w:tcW w:w="0" w:type="auto"/>
            <w:shd w:val="clear" w:color="auto" w:fill="auto"/>
            <w:vAlign w:val="bottom"/>
            <w:hideMark/>
          </w:tcPr>
          <w:p w14:paraId="481CD1E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4AD04A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C973E1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135317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7F923D2" w14:textId="77777777" w:rsidTr="3D944358">
        <w:trPr>
          <w:trHeight w:val="345"/>
        </w:trPr>
        <w:tc>
          <w:tcPr>
            <w:tcW w:w="0" w:type="auto"/>
            <w:shd w:val="clear" w:color="auto" w:fill="auto"/>
            <w:vAlign w:val="bottom"/>
            <w:hideMark/>
          </w:tcPr>
          <w:p w14:paraId="369640A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D3B63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2A6A7906" w14:textId="77777777" w:rsidR="00FF6B5A" w:rsidRPr="00FF6B5A" w:rsidRDefault="00CF73E7"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51B1AAF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40110FC" w14:textId="77777777" w:rsidTr="3D944358">
        <w:trPr>
          <w:trHeight w:val="345"/>
        </w:trPr>
        <w:tc>
          <w:tcPr>
            <w:tcW w:w="0" w:type="auto"/>
            <w:shd w:val="clear" w:color="auto" w:fill="auto"/>
            <w:vAlign w:val="bottom"/>
            <w:hideMark/>
          </w:tcPr>
          <w:p w14:paraId="1BDFF17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93EB18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752D5F55"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8AF313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649BE5D" w14:textId="77777777" w:rsidTr="3D944358">
        <w:trPr>
          <w:trHeight w:val="405"/>
        </w:trPr>
        <w:tc>
          <w:tcPr>
            <w:tcW w:w="0" w:type="auto"/>
            <w:shd w:val="clear" w:color="auto" w:fill="auto"/>
            <w:vAlign w:val="bottom"/>
            <w:hideMark/>
          </w:tcPr>
          <w:p w14:paraId="57F557E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A3945C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35CFF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578CC7D"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D462BED" w14:textId="77777777" w:rsidTr="3D944358">
        <w:trPr>
          <w:trHeight w:val="510"/>
        </w:trPr>
        <w:tc>
          <w:tcPr>
            <w:tcW w:w="0" w:type="auto"/>
            <w:shd w:val="clear" w:color="auto" w:fill="auto"/>
            <w:vAlign w:val="bottom"/>
            <w:hideMark/>
          </w:tcPr>
          <w:p w14:paraId="3618D64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1E1D349" w14:textId="77777777" w:rsidR="00FF6B5A" w:rsidRPr="00FF6B5A" w:rsidRDefault="00CF73E7"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7F7381C4" w14:textId="428F292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Csach</w:t>
            </w:r>
          </w:p>
        </w:tc>
      </w:tr>
      <w:tr w:rsidR="00FF6B5A" w:rsidRPr="00FF6B5A" w14:paraId="0B0CB2B5" w14:textId="77777777" w:rsidTr="3D944358">
        <w:trPr>
          <w:trHeight w:val="315"/>
        </w:trPr>
        <w:tc>
          <w:tcPr>
            <w:tcW w:w="0" w:type="auto"/>
            <w:shd w:val="clear" w:color="auto" w:fill="auto"/>
            <w:vAlign w:val="bottom"/>
            <w:hideMark/>
          </w:tcPr>
          <w:p w14:paraId="580FCF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1AAA274" w14:textId="77777777" w:rsidR="00FF6B5A" w:rsidRPr="00FF6B5A" w:rsidRDefault="00CF73E7"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A2726EA" w14:textId="65F8EEA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Kristián</w:t>
            </w:r>
          </w:p>
        </w:tc>
      </w:tr>
      <w:tr w:rsidR="00FF6B5A" w:rsidRPr="00FF6B5A" w14:paraId="04319611" w14:textId="77777777" w:rsidTr="3D944358">
        <w:trPr>
          <w:trHeight w:val="510"/>
        </w:trPr>
        <w:tc>
          <w:tcPr>
            <w:tcW w:w="0" w:type="auto"/>
            <w:shd w:val="clear" w:color="auto" w:fill="auto"/>
            <w:vAlign w:val="bottom"/>
            <w:hideMark/>
          </w:tcPr>
          <w:p w14:paraId="0130791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BA2F938" w14:textId="77777777" w:rsidR="00FF6B5A" w:rsidRPr="00FF6B5A" w:rsidRDefault="00CF73E7"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763FAF36" w14:textId="212B90B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Doc., JUDr., PhD., LL.M.</w:t>
            </w:r>
          </w:p>
        </w:tc>
      </w:tr>
      <w:tr w:rsidR="00FF6B5A" w:rsidRPr="00FF6B5A" w14:paraId="56709914" w14:textId="77777777" w:rsidTr="3D944358">
        <w:trPr>
          <w:trHeight w:val="660"/>
        </w:trPr>
        <w:tc>
          <w:tcPr>
            <w:tcW w:w="0" w:type="auto"/>
            <w:shd w:val="clear" w:color="auto" w:fill="auto"/>
            <w:vAlign w:val="bottom"/>
            <w:hideMark/>
          </w:tcPr>
          <w:p w14:paraId="7D56CFE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673E1CA" w14:textId="77777777" w:rsidR="00FF6B5A" w:rsidRPr="00FF6B5A" w:rsidRDefault="00CF73E7"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6A9AD78" w14:textId="4474834F" w:rsidR="00FF6B5A" w:rsidRPr="00793032" w:rsidRDefault="00FF6B5A" w:rsidP="00FF6B5A">
            <w:pPr>
              <w:spacing w:after="0" w:line="240" w:lineRule="auto"/>
              <w:rPr>
                <w:rFonts w:ascii="Calibri" w:eastAsia="Times New Roman" w:hAnsi="Calibri" w:cs="Times New Roman"/>
                <w:color w:val="000000"/>
                <w:lang w:eastAsia="sk-SK"/>
              </w:rPr>
            </w:pPr>
            <w:r w:rsidRPr="00793032">
              <w:rPr>
                <w:rFonts w:ascii="Calibri" w:eastAsia="Times New Roman" w:hAnsi="Calibri" w:cs="Times New Roman"/>
                <w:color w:val="000000"/>
                <w:lang w:eastAsia="sk-SK"/>
              </w:rPr>
              <w:t> </w:t>
            </w:r>
            <w:r w:rsidR="00CE5D14" w:rsidRPr="00793032">
              <w:rPr>
                <w:rFonts w:ascii="Calibri" w:eastAsia="Times New Roman" w:hAnsi="Calibri" w:cs="Times New Roman"/>
                <w:color w:val="000000"/>
                <w:lang w:eastAsia="sk-SK"/>
              </w:rPr>
              <w:t>https://www.portalvs.sk/regzam/detail/14919?mode=full</w:t>
            </w:r>
          </w:p>
        </w:tc>
      </w:tr>
      <w:tr w:rsidR="00FF6B5A" w:rsidRPr="00FF6B5A" w14:paraId="14D19C3C" w14:textId="77777777" w:rsidTr="3D944358">
        <w:trPr>
          <w:trHeight w:val="300"/>
        </w:trPr>
        <w:tc>
          <w:tcPr>
            <w:tcW w:w="0" w:type="auto"/>
            <w:shd w:val="clear" w:color="auto" w:fill="auto"/>
            <w:vAlign w:val="bottom"/>
            <w:hideMark/>
          </w:tcPr>
          <w:p w14:paraId="38AD6E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082922F" w14:textId="77777777" w:rsidR="00FF6B5A" w:rsidRPr="00FF6B5A" w:rsidRDefault="00CF73E7"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5C2F11FA" w14:textId="3E24819A" w:rsidR="00FF6B5A" w:rsidRPr="00793032" w:rsidRDefault="00877F9F" w:rsidP="00877F9F">
            <w:pPr>
              <w:rPr>
                <w:rFonts w:ascii="Calibri" w:eastAsia="Times New Roman" w:hAnsi="Calibri" w:cs="Times New Roman"/>
                <w:color w:val="000000"/>
                <w:lang w:eastAsia="sk-SK"/>
              </w:rPr>
            </w:pPr>
            <w:r w:rsidRPr="00877F9F">
              <w:rPr>
                <w:rFonts w:ascii="Calibri" w:eastAsia="Times New Roman" w:hAnsi="Calibri" w:cs="Times New Roman"/>
                <w:color w:val="000000"/>
                <w:lang w:eastAsia="sk-SK"/>
              </w:rPr>
              <w:t xml:space="preserve">Študijný program „Právo“ - 1. a 2. stupeň a študijný program Občianske právo - 3. stupeň / </w:t>
            </w:r>
            <w:r w:rsidRPr="00877F9F">
              <w:rPr>
                <w:rFonts w:ascii="Calibri" w:eastAsia="Times New Roman" w:hAnsi="Calibri" w:cs="Times New Roman"/>
                <w:color w:val="000000"/>
                <w:lang w:val="en" w:eastAsia="sk-SK"/>
              </w:rPr>
              <w:t>Study program "Law" - 1st and 2nd degree and  3</w:t>
            </w:r>
            <w:r w:rsidRPr="00877F9F">
              <w:rPr>
                <w:rFonts w:ascii="Calibri" w:eastAsia="Times New Roman" w:hAnsi="Calibri" w:cs="Times New Roman"/>
                <w:color w:val="000000"/>
                <w:lang w:eastAsia="sk-SK"/>
              </w:rPr>
              <w:t>rd degree study program - "Civil Law"/ HIK Občianske právo/ HIK Civil Law</w:t>
            </w:r>
          </w:p>
        </w:tc>
      </w:tr>
      <w:tr w:rsidR="008E2108" w:rsidRPr="00FF6B5A" w14:paraId="5AE22338" w14:textId="77777777" w:rsidTr="3D944358">
        <w:trPr>
          <w:trHeight w:val="300"/>
        </w:trPr>
        <w:tc>
          <w:tcPr>
            <w:tcW w:w="0" w:type="auto"/>
            <w:shd w:val="clear" w:color="auto" w:fill="auto"/>
            <w:vAlign w:val="bottom"/>
          </w:tcPr>
          <w:p w14:paraId="4863594D"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D5DCE4" w:themeFill="text2" w:themeFillTint="33"/>
            <w:vAlign w:val="center"/>
          </w:tcPr>
          <w:p w14:paraId="2665BEF5" w14:textId="35B10193" w:rsidR="008E2108" w:rsidRDefault="2C6CD09B" w:rsidP="3D944358">
            <w:pPr>
              <w:spacing w:after="0" w:line="240" w:lineRule="auto"/>
              <w:rPr>
                <w:rFonts w:ascii="Calibri" w:eastAsia="Calibri" w:hAnsi="Calibri" w:cs="Calibri"/>
              </w:rPr>
            </w:pPr>
            <w:r w:rsidRPr="3D944358">
              <w:rPr>
                <w:rFonts w:ascii="Calibri" w:eastAsia="Calibri" w:hAnsi="Calibri" w:cs="Calibri"/>
              </w:rPr>
              <w:t>Zaradenie (PF TU)</w:t>
            </w:r>
          </w:p>
        </w:tc>
        <w:tc>
          <w:tcPr>
            <w:tcW w:w="0" w:type="auto"/>
            <w:shd w:val="clear" w:color="auto" w:fill="auto"/>
          </w:tcPr>
          <w:p w14:paraId="285B8AA2" w14:textId="5E0A926B" w:rsidR="008E2108" w:rsidRPr="00793032" w:rsidRDefault="00CE5D14" w:rsidP="00FF6B5A">
            <w:pPr>
              <w:spacing w:after="0" w:line="240" w:lineRule="auto"/>
              <w:rPr>
                <w:rFonts w:ascii="Calibri" w:eastAsia="Times New Roman" w:hAnsi="Calibri" w:cs="Times New Roman"/>
                <w:color w:val="000000"/>
                <w:lang w:eastAsia="sk-SK"/>
              </w:rPr>
            </w:pPr>
            <w:r w:rsidRPr="00793032">
              <w:rPr>
                <w:rFonts w:ascii="Calibri" w:eastAsia="Times New Roman" w:hAnsi="Calibri" w:cs="Times New Roman"/>
                <w:color w:val="000000"/>
                <w:lang w:eastAsia="sk-SK"/>
              </w:rPr>
              <w:t>A</w:t>
            </w:r>
          </w:p>
        </w:tc>
      </w:tr>
      <w:tr w:rsidR="00FF6B5A" w:rsidRPr="00FF6B5A" w14:paraId="2755EA2A" w14:textId="77777777" w:rsidTr="3D944358">
        <w:trPr>
          <w:trHeight w:val="660"/>
        </w:trPr>
        <w:tc>
          <w:tcPr>
            <w:tcW w:w="0" w:type="auto"/>
            <w:shd w:val="clear" w:color="auto" w:fill="auto"/>
            <w:vAlign w:val="bottom"/>
            <w:hideMark/>
          </w:tcPr>
          <w:p w14:paraId="306E084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40DCC6" w14:textId="77777777" w:rsidR="00FF6B5A" w:rsidRDefault="00CF73E7"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3B623BE5"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lastRenderedPageBreak/>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42A0A139" w14:textId="742BCB01" w:rsidR="00FF6B5A" w:rsidRPr="00793032" w:rsidRDefault="00FF6B5A" w:rsidP="00FF6B5A">
            <w:pPr>
              <w:spacing w:after="0" w:line="240" w:lineRule="auto"/>
              <w:rPr>
                <w:rFonts w:ascii="Calibri" w:eastAsia="Times New Roman" w:hAnsi="Calibri" w:cs="Times New Roman"/>
                <w:iCs/>
                <w:color w:val="00B0F0"/>
                <w:lang w:eastAsia="sk-SK"/>
              </w:rPr>
            </w:pPr>
            <w:r w:rsidRPr="00793032">
              <w:rPr>
                <w:rFonts w:ascii="Calibri" w:eastAsia="Times New Roman" w:hAnsi="Calibri" w:cs="Times New Roman"/>
                <w:i/>
                <w:iCs/>
                <w:lang w:eastAsia="sk-SK"/>
              </w:rPr>
              <w:lastRenderedPageBreak/>
              <w:t> </w:t>
            </w:r>
            <w:r w:rsidR="00942518" w:rsidRPr="00793032">
              <w:rPr>
                <w:rFonts w:ascii="Calibri" w:eastAsia="Times New Roman" w:hAnsi="Calibri" w:cs="Times New Roman"/>
                <w:b/>
                <w:color w:val="000000"/>
                <w:lang w:eastAsia="sk-SK"/>
              </w:rPr>
              <w:t>vedecký výstup</w:t>
            </w:r>
            <w:r w:rsidR="00942518" w:rsidRPr="00793032">
              <w:rPr>
                <w:rFonts w:ascii="Calibri" w:eastAsia="Times New Roman" w:hAnsi="Calibri" w:cs="Times New Roman"/>
                <w:color w:val="000000"/>
                <w:lang w:eastAsia="sk-SK"/>
              </w:rPr>
              <w:t xml:space="preserve"> / scientific output</w:t>
            </w:r>
          </w:p>
        </w:tc>
      </w:tr>
      <w:tr w:rsidR="00FF6B5A" w:rsidRPr="00FF6B5A" w14:paraId="5CF1856E" w14:textId="77777777" w:rsidTr="3D944358">
        <w:trPr>
          <w:trHeight w:val="510"/>
        </w:trPr>
        <w:tc>
          <w:tcPr>
            <w:tcW w:w="0" w:type="auto"/>
            <w:shd w:val="clear" w:color="auto" w:fill="auto"/>
            <w:vAlign w:val="bottom"/>
            <w:hideMark/>
          </w:tcPr>
          <w:p w14:paraId="26051AA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2CDC91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24BC0AA8" w14:textId="4F72D7E8"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20</w:t>
            </w:r>
            <w:r w:rsidR="00793032">
              <w:rPr>
                <w:rFonts w:ascii="Calibri" w:eastAsia="Times New Roman" w:hAnsi="Calibri" w:cs="Times New Roman"/>
                <w:color w:val="000000"/>
                <w:lang w:eastAsia="sk-SK"/>
              </w:rPr>
              <w:t>20</w:t>
            </w:r>
          </w:p>
        </w:tc>
      </w:tr>
      <w:tr w:rsidR="00FF6B5A" w:rsidRPr="00FF6B5A" w14:paraId="70C2F838" w14:textId="77777777" w:rsidTr="3D944358">
        <w:trPr>
          <w:trHeight w:val="660"/>
        </w:trPr>
        <w:tc>
          <w:tcPr>
            <w:tcW w:w="0" w:type="auto"/>
            <w:shd w:val="clear" w:color="auto" w:fill="auto"/>
            <w:vAlign w:val="bottom"/>
            <w:hideMark/>
          </w:tcPr>
          <w:p w14:paraId="3898A1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28620AE" w14:textId="77777777" w:rsidR="00FF6B5A" w:rsidRPr="00FF6B5A" w:rsidRDefault="00CF73E7"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0A9BCDEE" w14:textId="7025F61B" w:rsidR="6EBCB124" w:rsidRDefault="6EBCB124" w:rsidP="63AA3D16">
            <w:r>
              <w:t xml:space="preserve">ID: 242797 | </w:t>
            </w:r>
            <w:r w:rsidRPr="63AA3D16">
              <w:rPr>
                <w:b/>
                <w:bCs/>
              </w:rPr>
              <w:t>Wybrane zagadnienia międzynarodowego prawa prywatnego i procesowego w Republice Słowackiej</w:t>
            </w:r>
            <w:r>
              <w:t xml:space="preserve"> / Csach, Kristián [Autor, 100%] ; [recenzované] In: Kwartalnik prawa prywatnego [textový dokument (print)] . – Kraków (Poľsko) : Polska Akademia Umiejetnosci. – ISSN 1230-7173. – Roč. 29, č. 3 (2020), s. 577-590 [tlačená forma]</w:t>
            </w:r>
          </w:p>
          <w:p w14:paraId="7EA0900B" w14:textId="615F5510" w:rsidR="00422600" w:rsidRPr="00FF6B5A" w:rsidRDefault="00422600" w:rsidP="00B42805">
            <w:pPr>
              <w:rPr>
                <w:rFonts w:ascii="Calibri" w:eastAsia="Times New Roman" w:hAnsi="Calibri" w:cs="Times New Roman"/>
                <w:color w:val="000000"/>
                <w:lang w:eastAsia="sk-SK"/>
              </w:rPr>
            </w:pPr>
          </w:p>
        </w:tc>
      </w:tr>
      <w:tr w:rsidR="00FF6B5A" w:rsidRPr="00FF6B5A" w14:paraId="7043AB98" w14:textId="77777777" w:rsidTr="3D944358">
        <w:trPr>
          <w:trHeight w:val="525"/>
        </w:trPr>
        <w:tc>
          <w:tcPr>
            <w:tcW w:w="0" w:type="auto"/>
            <w:shd w:val="clear" w:color="auto" w:fill="auto"/>
            <w:vAlign w:val="bottom"/>
            <w:hideMark/>
          </w:tcPr>
          <w:p w14:paraId="02B970D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F2B6CC9" w14:textId="77777777" w:rsidR="00FF6B5A" w:rsidRPr="00FF6B5A" w:rsidRDefault="00CF73E7"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tcPr>
          <w:p w14:paraId="5FF90BB9" w14:textId="616EA222" w:rsidR="00FF6B5A" w:rsidRPr="00FF6B5A" w:rsidRDefault="00793032" w:rsidP="00FE27EC">
            <w:pPr>
              <w:spacing w:after="0" w:line="240" w:lineRule="auto"/>
              <w:rPr>
                <w:rFonts w:ascii="Calibri" w:eastAsia="Times New Roman" w:hAnsi="Calibri" w:cs="Times New Roman"/>
                <w:color w:val="000000"/>
                <w:lang w:eastAsia="sk-SK"/>
              </w:rPr>
            </w:pPr>
            <w:r w:rsidRPr="00793032">
              <w:rPr>
                <w:rFonts w:ascii="Calibri" w:eastAsia="Times New Roman" w:hAnsi="Calibri" w:cs="Times New Roman"/>
                <w:color w:val="000000"/>
                <w:lang w:eastAsia="sk-SK"/>
              </w:rPr>
              <w:t xml:space="preserve">    https://app.crepc.sk/?fn=detailBiblioForm&amp;sid=B333B543FA8505EA491A1AF121</w:t>
            </w:r>
          </w:p>
        </w:tc>
      </w:tr>
      <w:tr w:rsidR="00C86832" w:rsidRPr="00FF6B5A" w14:paraId="21498929" w14:textId="77777777" w:rsidTr="3D944358">
        <w:trPr>
          <w:trHeight w:val="525"/>
        </w:trPr>
        <w:tc>
          <w:tcPr>
            <w:tcW w:w="0" w:type="auto"/>
            <w:shd w:val="clear" w:color="auto" w:fill="auto"/>
            <w:vAlign w:val="bottom"/>
          </w:tcPr>
          <w:p w14:paraId="6F1ADBE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74742115" w14:textId="77777777" w:rsidR="00C86832" w:rsidRDefault="00C86832" w:rsidP="00532FE9">
            <w:pPr>
              <w:spacing w:after="0" w:line="240" w:lineRule="auto"/>
            </w:pPr>
          </w:p>
        </w:tc>
        <w:tc>
          <w:tcPr>
            <w:tcW w:w="0" w:type="auto"/>
            <w:shd w:val="clear" w:color="auto" w:fill="auto"/>
          </w:tcPr>
          <w:p w14:paraId="26262AED"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6BA9D2A2" w14:textId="77777777" w:rsidTr="3D944358">
        <w:trPr>
          <w:trHeight w:val="1065"/>
        </w:trPr>
        <w:tc>
          <w:tcPr>
            <w:tcW w:w="0" w:type="auto"/>
            <w:shd w:val="clear" w:color="auto" w:fill="auto"/>
            <w:vAlign w:val="bottom"/>
            <w:hideMark/>
          </w:tcPr>
          <w:p w14:paraId="1D1FB3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429918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29C19DA6" w14:textId="77777777" w:rsidR="00FF6B5A" w:rsidRPr="00FF6B5A" w:rsidRDefault="00CF73E7"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03C9B17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1BFBC80" w14:textId="77777777" w:rsidTr="3D944358">
        <w:trPr>
          <w:trHeight w:val="1515"/>
        </w:trPr>
        <w:tc>
          <w:tcPr>
            <w:tcW w:w="0" w:type="auto"/>
            <w:shd w:val="clear" w:color="auto" w:fill="auto"/>
            <w:vAlign w:val="bottom"/>
            <w:hideMark/>
          </w:tcPr>
          <w:p w14:paraId="6D0277B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2B8038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86CD7C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w:t>
            </w:r>
            <w:r w:rsidRPr="00FF6B5A">
              <w:rPr>
                <w:rFonts w:ascii="Calibri" w:eastAsia="Times New Roman" w:hAnsi="Calibri" w:cs="Times New Roman"/>
                <w:color w:val="000000"/>
                <w:lang w:eastAsia="sk-SK"/>
              </w:rPr>
              <w:lastRenderedPageBreak/>
              <w:t>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429E661A" w14:textId="0E8964E9" w:rsidR="00FF6B5A" w:rsidRPr="00FF6B5A" w:rsidRDefault="00FF6B5A" w:rsidP="00B11CC7">
            <w:pPr>
              <w:rPr>
                <w:rFonts w:ascii="Calibri" w:eastAsia="Times New Roman" w:hAnsi="Calibri" w:cs="Times New Roman"/>
                <w:color w:val="000000"/>
                <w:lang w:eastAsia="sk-SK"/>
              </w:rPr>
            </w:pPr>
          </w:p>
        </w:tc>
      </w:tr>
      <w:tr w:rsidR="00FF6B5A" w:rsidRPr="00FF6B5A" w14:paraId="1DD2128C" w14:textId="77777777" w:rsidTr="3D944358">
        <w:trPr>
          <w:trHeight w:val="1290"/>
        </w:trPr>
        <w:tc>
          <w:tcPr>
            <w:tcW w:w="0" w:type="auto"/>
            <w:shd w:val="clear" w:color="auto" w:fill="auto"/>
            <w:vAlign w:val="bottom"/>
            <w:hideMark/>
          </w:tcPr>
          <w:p w14:paraId="43AF582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8D5F8A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03B2189C" w14:textId="77777777" w:rsidR="00FF6B5A" w:rsidRPr="00B11CC7" w:rsidRDefault="00CF73E7" w:rsidP="00087B3E">
            <w:pPr>
              <w:spacing w:after="0" w:line="240" w:lineRule="auto"/>
              <w:rPr>
                <w:rFonts w:ascii="Calibri" w:eastAsia="Times New Roman" w:hAnsi="Calibri" w:cs="Times New Roman"/>
                <w:lang w:eastAsia="sk-SK"/>
              </w:rPr>
            </w:pPr>
            <w:hyperlink r:id="rId21" w:anchor="Expl.OCA12!A1" w:history="1">
              <w:r w:rsidR="00FF6B5A" w:rsidRPr="00B11CC7">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B11CC7">
                <w:rPr>
                  <w:rFonts w:ascii="Calibri" w:eastAsia="Times New Roman" w:hAnsi="Calibri" w:cs="Times New Roman"/>
                  <w:lang w:eastAsia="sk-SK"/>
                </w:rPr>
                <w:br/>
              </w:r>
            </w:hyperlink>
          </w:p>
        </w:tc>
        <w:tc>
          <w:tcPr>
            <w:tcW w:w="0" w:type="auto"/>
            <w:shd w:val="clear" w:color="auto" w:fill="auto"/>
            <w:hideMark/>
          </w:tcPr>
          <w:p w14:paraId="6266D3A3" w14:textId="17F371CE" w:rsidR="00FF6B5A" w:rsidRPr="00087B3E" w:rsidRDefault="00FF6B5A" w:rsidP="00FF6B5A">
            <w:pPr>
              <w:spacing w:after="0" w:line="240" w:lineRule="auto"/>
              <w:rPr>
                <w:rFonts w:ascii="Calibri" w:eastAsia="Times New Roman" w:hAnsi="Calibri" w:cs="Times New Roman"/>
                <w:iCs/>
                <w:color w:val="000000"/>
                <w:lang w:eastAsia="sk-SK"/>
              </w:rPr>
            </w:pPr>
          </w:p>
        </w:tc>
      </w:tr>
      <w:tr w:rsidR="00FF6B5A" w:rsidRPr="00FF6B5A" w14:paraId="3994E767" w14:textId="77777777" w:rsidTr="3D944358">
        <w:trPr>
          <w:trHeight w:val="1110"/>
        </w:trPr>
        <w:tc>
          <w:tcPr>
            <w:tcW w:w="0" w:type="auto"/>
            <w:shd w:val="clear" w:color="auto" w:fill="auto"/>
            <w:vAlign w:val="bottom"/>
            <w:hideMark/>
          </w:tcPr>
          <w:p w14:paraId="1F1E41C7"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66CE3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0F864A0" w14:textId="77777777" w:rsidR="00FF6B5A" w:rsidRPr="00B11CC7" w:rsidRDefault="00FF6B5A" w:rsidP="00FF6B5A">
            <w:pPr>
              <w:spacing w:after="0" w:line="240" w:lineRule="auto"/>
              <w:rPr>
                <w:rFonts w:ascii="Calibri" w:eastAsia="Times New Roman" w:hAnsi="Calibri" w:cs="Times New Roman"/>
                <w:color w:val="000000"/>
                <w:lang w:eastAsia="sk-SK"/>
              </w:rPr>
            </w:pPr>
            <w:r w:rsidRPr="00B11CC7">
              <w:rPr>
                <w:rFonts w:ascii="Calibri" w:eastAsia="Times New Roman" w:hAnsi="Calibri" w:cs="Times New Roman"/>
                <w:color w:val="000000"/>
                <w:lang w:eastAsia="sk-SK"/>
              </w:rPr>
              <w:t xml:space="preserve">OCA13. </w:t>
            </w:r>
            <w:r w:rsidRPr="00B11CC7">
              <w:rPr>
                <w:rFonts w:ascii="Calibri" w:eastAsia="Times New Roman" w:hAnsi="Calibri" w:cs="Times New Roman"/>
                <w:b/>
                <w:color w:val="000000"/>
                <w:lang w:eastAsia="sk-SK"/>
              </w:rPr>
              <w:t>Hyperlink na stránku, na ktorej je výstup sprístupnený</w:t>
            </w:r>
            <w:r w:rsidRPr="00B11CC7">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2438FED5" w14:textId="77777777" w:rsidR="00FF6B5A" w:rsidRPr="00CB3037" w:rsidRDefault="00FF6B5A" w:rsidP="00FF6B5A">
            <w:pPr>
              <w:spacing w:after="0" w:line="240" w:lineRule="auto"/>
              <w:rPr>
                <w:rFonts w:eastAsia="Times New Roman" w:cstheme="minorHAnsi"/>
                <w:color w:val="000000"/>
                <w:lang w:eastAsia="sk-SK"/>
              </w:rPr>
            </w:pPr>
            <w:r w:rsidRPr="00CB3037">
              <w:rPr>
                <w:rFonts w:eastAsia="Times New Roman" w:cstheme="minorHAnsi"/>
                <w:color w:val="000000"/>
                <w:lang w:eastAsia="sk-SK"/>
              </w:rPr>
              <w:t> </w:t>
            </w:r>
          </w:p>
        </w:tc>
      </w:tr>
      <w:tr w:rsidR="00FF6B5A" w:rsidRPr="00FF6B5A" w14:paraId="49B38A92" w14:textId="77777777" w:rsidTr="3D944358">
        <w:trPr>
          <w:trHeight w:val="765"/>
        </w:trPr>
        <w:tc>
          <w:tcPr>
            <w:tcW w:w="0" w:type="auto"/>
            <w:shd w:val="clear" w:color="auto" w:fill="auto"/>
            <w:vAlign w:val="bottom"/>
            <w:hideMark/>
          </w:tcPr>
          <w:p w14:paraId="207E32D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2470FC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D8472C6" w14:textId="77777777" w:rsidR="00FF6B5A" w:rsidRPr="00B11CC7" w:rsidRDefault="00FF6B5A" w:rsidP="00FF6B5A">
            <w:pPr>
              <w:spacing w:after="0" w:line="240" w:lineRule="auto"/>
              <w:rPr>
                <w:rFonts w:ascii="Calibri" w:eastAsia="Times New Roman" w:hAnsi="Calibri" w:cs="Times New Roman"/>
                <w:color w:val="000000"/>
                <w:lang w:eastAsia="sk-SK"/>
              </w:rPr>
            </w:pPr>
            <w:r w:rsidRPr="00B11CC7">
              <w:rPr>
                <w:rFonts w:ascii="Calibri" w:eastAsia="Times New Roman" w:hAnsi="Calibri" w:cs="Times New Roman"/>
                <w:color w:val="000000"/>
                <w:lang w:eastAsia="sk-SK"/>
              </w:rPr>
              <w:t>OCA14. Charakteristika autorského vkladu / Characteristics of the author's contribution</w:t>
            </w:r>
          </w:p>
        </w:tc>
        <w:tc>
          <w:tcPr>
            <w:tcW w:w="0" w:type="auto"/>
            <w:shd w:val="clear" w:color="auto" w:fill="auto"/>
            <w:hideMark/>
          </w:tcPr>
          <w:p w14:paraId="7D33DD09" w14:textId="7161B0C4" w:rsidR="00FF6B5A" w:rsidRPr="00CB3037" w:rsidRDefault="00FF6B5A" w:rsidP="00FF6B5A">
            <w:pPr>
              <w:spacing w:after="0" w:line="240" w:lineRule="auto"/>
              <w:rPr>
                <w:rFonts w:eastAsia="Times New Roman" w:cstheme="minorHAnsi"/>
                <w:color w:val="000000"/>
                <w:lang w:eastAsia="sk-SK"/>
              </w:rPr>
            </w:pPr>
          </w:p>
        </w:tc>
      </w:tr>
      <w:tr w:rsidR="00FF6B5A" w:rsidRPr="00FF6B5A" w14:paraId="270C6842" w14:textId="77777777" w:rsidTr="3D944358">
        <w:trPr>
          <w:trHeight w:val="2310"/>
        </w:trPr>
        <w:tc>
          <w:tcPr>
            <w:tcW w:w="0" w:type="auto"/>
            <w:shd w:val="clear" w:color="auto" w:fill="auto"/>
            <w:vAlign w:val="bottom"/>
            <w:hideMark/>
          </w:tcPr>
          <w:p w14:paraId="07D7D6E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E5B7FC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740FF49" w14:textId="77777777" w:rsidR="00FF6B5A" w:rsidRPr="00FF6B5A" w:rsidRDefault="00CF73E7"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 Annotation of the output with contextual information concerning the description of creative process and the content of the research/artistic/othe</w:t>
              </w:r>
              <w:r w:rsidR="00FF6B5A" w:rsidRPr="00FF6B5A">
                <w:rPr>
                  <w:rFonts w:ascii="Calibri" w:eastAsia="Times New Roman" w:hAnsi="Calibri" w:cs="Times New Roman"/>
                  <w:lang w:eastAsia="sk-SK"/>
                </w:rPr>
                <w:lastRenderedPageBreak/>
                <w:t xml:space="preserv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5C616FFB" w14:textId="44063710" w:rsidR="00422600" w:rsidRPr="00CB3037" w:rsidRDefault="00793032" w:rsidP="000F0C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Článok v prestížnom </w:t>
            </w:r>
            <w:r w:rsidR="007A286E">
              <w:rPr>
                <w:rFonts w:asciiTheme="minorHAnsi" w:hAnsiTheme="minorHAnsi" w:cstheme="minorHAnsi"/>
                <w:color w:val="auto"/>
                <w:sz w:val="22"/>
                <w:szCs w:val="22"/>
              </w:rPr>
              <w:t>právno</w:t>
            </w:r>
            <w:r w:rsidR="005A5140">
              <w:rPr>
                <w:rFonts w:asciiTheme="minorHAnsi" w:hAnsiTheme="minorHAnsi" w:cstheme="minorHAnsi"/>
                <w:color w:val="auto"/>
                <w:sz w:val="22"/>
                <w:szCs w:val="22"/>
              </w:rPr>
              <w:t>-</w:t>
            </w:r>
            <w:r w:rsidR="007A286E">
              <w:rPr>
                <w:rFonts w:asciiTheme="minorHAnsi" w:hAnsiTheme="minorHAnsi" w:cstheme="minorHAnsi"/>
                <w:color w:val="auto"/>
                <w:sz w:val="22"/>
                <w:szCs w:val="22"/>
              </w:rPr>
              <w:t xml:space="preserve">teoretickom </w:t>
            </w:r>
            <w:r>
              <w:rPr>
                <w:rFonts w:asciiTheme="minorHAnsi" w:hAnsiTheme="minorHAnsi" w:cstheme="minorHAnsi"/>
                <w:color w:val="auto"/>
                <w:sz w:val="22"/>
                <w:szCs w:val="22"/>
              </w:rPr>
              <w:t xml:space="preserve">časopise vydávanom Poľskou akadémiou vied </w:t>
            </w:r>
            <w:r w:rsidR="000F0CE9">
              <w:rPr>
                <w:rFonts w:asciiTheme="minorHAnsi" w:hAnsiTheme="minorHAnsi" w:cstheme="minorHAnsi"/>
                <w:color w:val="auto"/>
                <w:sz w:val="22"/>
                <w:szCs w:val="22"/>
              </w:rPr>
              <w:t xml:space="preserve">sa sústreďuje na súčasné problémy medzinárodného práva súkromného a procesného. Približuje zahraničnému čitateľovi všetky väčšie výzvy, ktorým čelilo slovenské medzinárodné právo súkromné a procesné, či už faktického, legislatívneho alebo doktrinálneho charakteru. Autor popisuje problémy, reakcie a navrhuje aj riešenie pre situácie, ktorým môže čeliť ako slovenského právneho prostredia aj iné prostredie. Ukazuje, ktoré cesty slovenského práva sa ukázali ako nasledovania hodné a ktoré cesty sú, naopak, neschodné. K príspevku je pripojený aj dôkladný preklad slovenského predpisu o medzinárodnom práve súkromnom a procesnom do poľského jazyka. Prekladateľ: </w:t>
            </w:r>
            <w:r w:rsidR="000F0CE9" w:rsidRPr="000F0CE9">
              <w:rPr>
                <w:rFonts w:asciiTheme="minorHAnsi" w:hAnsiTheme="minorHAnsi" w:cstheme="minorHAnsi"/>
                <w:color w:val="auto"/>
                <w:sz w:val="22"/>
                <w:szCs w:val="22"/>
              </w:rPr>
              <w:t>Bolesław Banaskiewicz</w:t>
            </w:r>
            <w:r w:rsidR="000F0CE9">
              <w:rPr>
                <w:rFonts w:asciiTheme="minorHAnsi" w:hAnsiTheme="minorHAnsi" w:cstheme="minorHAnsi"/>
                <w:color w:val="auto"/>
                <w:sz w:val="22"/>
                <w:szCs w:val="22"/>
              </w:rPr>
              <w:t>.</w:t>
            </w:r>
          </w:p>
          <w:p w14:paraId="43CD8ADA" w14:textId="77777777" w:rsidR="004F5914" w:rsidRPr="00CB3037" w:rsidRDefault="004F5914" w:rsidP="00F048A8">
            <w:pPr>
              <w:pStyle w:val="Default"/>
              <w:jc w:val="both"/>
              <w:rPr>
                <w:rFonts w:asciiTheme="minorHAnsi" w:hAnsiTheme="minorHAnsi" w:cstheme="minorHAnsi"/>
                <w:color w:val="auto"/>
                <w:sz w:val="22"/>
                <w:szCs w:val="22"/>
              </w:rPr>
            </w:pPr>
          </w:p>
          <w:p w14:paraId="6D13AE23" w14:textId="60F3B747" w:rsidR="004F5914" w:rsidRPr="00CB3037" w:rsidRDefault="004F5914" w:rsidP="00F048A8">
            <w:pPr>
              <w:pStyle w:val="Default"/>
              <w:jc w:val="both"/>
              <w:rPr>
                <w:rFonts w:asciiTheme="minorHAnsi" w:hAnsiTheme="minorHAnsi" w:cstheme="minorHAnsi"/>
                <w:i/>
                <w:iCs/>
                <w:color w:val="auto"/>
                <w:sz w:val="22"/>
                <w:szCs w:val="22"/>
              </w:rPr>
            </w:pPr>
          </w:p>
        </w:tc>
      </w:tr>
      <w:tr w:rsidR="00FF6B5A" w:rsidRPr="00FF6B5A" w14:paraId="0E3A4A1E" w14:textId="77777777" w:rsidTr="3D944358">
        <w:trPr>
          <w:trHeight w:val="915"/>
        </w:trPr>
        <w:tc>
          <w:tcPr>
            <w:tcW w:w="0" w:type="auto"/>
            <w:shd w:val="clear" w:color="auto" w:fill="auto"/>
            <w:vAlign w:val="bottom"/>
            <w:hideMark/>
          </w:tcPr>
          <w:p w14:paraId="2208630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CCB09B" w14:textId="77777777" w:rsidR="00FF6B5A" w:rsidRPr="00FF6B5A" w:rsidRDefault="00CF73E7"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tcPr>
          <w:p w14:paraId="45D4C299" w14:textId="3E430457" w:rsidR="0053563B" w:rsidRPr="00CB3037" w:rsidRDefault="00B11CC7" w:rsidP="00B11CC7">
            <w:pPr>
              <w:spacing w:after="0" w:line="240" w:lineRule="auto"/>
              <w:rPr>
                <w:rFonts w:eastAsia="Times New Roman" w:cstheme="minorHAnsi"/>
                <w:i/>
                <w:iCs/>
                <w:color w:val="000000"/>
                <w:lang w:eastAsia="sk-SK"/>
              </w:rPr>
            </w:pPr>
            <w:r w:rsidRPr="000F0CE9">
              <w:rPr>
                <w:rFonts w:cstheme="minorHAnsi"/>
                <w:i/>
                <w:iCs/>
              </w:rPr>
              <w:t xml:space="preserve">The article in the prestigious journal published by the Polish Academy of Sciences focuses on contemporary issues of private international law and procedure. It brings to the attention of the foreign reader all the major challenges faced by Slovak private international law and procedure, whether of a factual, legislative or doctrinal nature. </w:t>
            </w:r>
            <w:r w:rsidRPr="00375713">
              <w:rPr>
                <w:rFonts w:eastAsia="Times New Roman" w:cstheme="minorHAnsi"/>
                <w:i/>
                <w:iCs/>
                <w:color w:val="000000"/>
                <w:lang w:eastAsia="sk-SK"/>
              </w:rPr>
              <w:t xml:space="preserve">Amendments to the </w:t>
            </w:r>
            <w:r>
              <w:rPr>
                <w:rFonts w:eastAsia="Times New Roman" w:cstheme="minorHAnsi"/>
                <w:i/>
                <w:iCs/>
                <w:color w:val="000000"/>
                <w:lang w:eastAsia="sk-SK"/>
              </w:rPr>
              <w:t xml:space="preserve">Act on </w:t>
            </w:r>
            <w:r w:rsidRPr="00375713">
              <w:rPr>
                <w:rFonts w:eastAsia="Times New Roman" w:cstheme="minorHAnsi"/>
                <w:i/>
                <w:iCs/>
                <w:color w:val="000000"/>
                <w:lang w:eastAsia="sk-SK"/>
              </w:rPr>
              <w:t xml:space="preserve">Private </w:t>
            </w:r>
            <w:r>
              <w:rPr>
                <w:rFonts w:eastAsia="Times New Roman" w:cstheme="minorHAnsi"/>
                <w:i/>
                <w:iCs/>
                <w:color w:val="000000"/>
                <w:lang w:eastAsia="sk-SK"/>
              </w:rPr>
              <w:t xml:space="preserve">and Procedural </w:t>
            </w:r>
            <w:r w:rsidRPr="00375713">
              <w:rPr>
                <w:rFonts w:eastAsia="Times New Roman" w:cstheme="minorHAnsi"/>
                <w:i/>
                <w:iCs/>
                <w:color w:val="000000"/>
                <w:lang w:eastAsia="sk-SK"/>
              </w:rPr>
              <w:t xml:space="preserve">International Law as well as the development of case law and doctrine over the last ten years have indicated many problems (matrimonial property regime, adaptation of foreign judgments, consumer protection, interim measures). The author maps these risks or reactions to it and assesses their appropriateness. He points out the difficulties caused by the divergence of national and European law, even in cases where the matter falls within the scope of the European unified rules. </w:t>
            </w:r>
            <w:r w:rsidRPr="000F0CE9">
              <w:rPr>
                <w:rFonts w:cstheme="minorHAnsi"/>
                <w:i/>
                <w:iCs/>
              </w:rPr>
              <w:t>The author suggests solutions for situations that may be faced by other legal environments than the Slovak legal environment. He shows which paths of Slovak law have proved to be worth following and which paths are, on the contrary, impassable. The paper is accompanied by a thorough translation of the Slovak rules on private international law and procedure into Polish</w:t>
            </w:r>
            <w:r>
              <w:rPr>
                <w:rFonts w:cstheme="minorHAnsi"/>
                <w:i/>
                <w:iCs/>
              </w:rPr>
              <w:t xml:space="preserve">. Translation by: </w:t>
            </w:r>
            <w:r w:rsidRPr="000F0CE9">
              <w:rPr>
                <w:rFonts w:cstheme="minorHAnsi"/>
              </w:rPr>
              <w:t>Bolesław Banaskiewicz</w:t>
            </w:r>
            <w:r w:rsidR="00375713" w:rsidRPr="00375713">
              <w:rPr>
                <w:rFonts w:eastAsia="Times New Roman" w:cstheme="minorHAnsi"/>
                <w:i/>
                <w:iCs/>
                <w:color w:val="000000"/>
                <w:lang w:eastAsia="sk-SK"/>
              </w:rPr>
              <w:t xml:space="preserve">.  </w:t>
            </w:r>
          </w:p>
        </w:tc>
      </w:tr>
      <w:tr w:rsidR="00FF6B5A" w:rsidRPr="00FF6B5A" w14:paraId="715A9106" w14:textId="77777777" w:rsidTr="3D944358">
        <w:trPr>
          <w:trHeight w:val="810"/>
        </w:trPr>
        <w:tc>
          <w:tcPr>
            <w:tcW w:w="0" w:type="auto"/>
            <w:shd w:val="clear" w:color="auto" w:fill="auto"/>
            <w:vAlign w:val="bottom"/>
            <w:hideMark/>
          </w:tcPr>
          <w:p w14:paraId="6D3A0EE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75AA1F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tcPr>
          <w:p w14:paraId="0BBF2845" w14:textId="49ACAF20" w:rsidR="00193C6B" w:rsidRPr="00193C6B" w:rsidRDefault="00193C6B" w:rsidP="00F83BCB">
            <w:pPr>
              <w:spacing w:after="0" w:line="240" w:lineRule="auto"/>
              <w:rPr>
                <w:rFonts w:eastAsia="Times New Roman" w:cstheme="minorHAnsi"/>
                <w:color w:val="000000"/>
                <w:lang w:eastAsia="sk-SK"/>
              </w:rPr>
            </w:pPr>
            <w:r w:rsidRPr="00193C6B">
              <w:rPr>
                <w:rFonts w:eastAsia="Times New Roman" w:cstheme="minorHAnsi"/>
                <w:color w:val="000000"/>
                <w:lang w:eastAsia="sk-SK"/>
              </w:rPr>
              <w:t>Vzhľadom na to, že článok bol publikovaný nedávno, nie sú citácie evidované.</w:t>
            </w:r>
          </w:p>
          <w:p w14:paraId="00C7467B" w14:textId="77777777" w:rsidR="00193C6B" w:rsidRPr="00193C6B" w:rsidRDefault="00193C6B" w:rsidP="00F83BCB">
            <w:pPr>
              <w:spacing w:after="0" w:line="240" w:lineRule="auto"/>
              <w:rPr>
                <w:rFonts w:eastAsia="Times New Roman" w:cstheme="minorHAnsi"/>
                <w:i/>
                <w:iCs/>
                <w:color w:val="000000"/>
                <w:lang w:eastAsia="sk-SK"/>
              </w:rPr>
            </w:pPr>
          </w:p>
          <w:p w14:paraId="329AA28C" w14:textId="4970E99E" w:rsidR="00F83BCB" w:rsidRPr="00193C6B" w:rsidRDefault="000F0CE9" w:rsidP="00F83BCB">
            <w:pPr>
              <w:spacing w:after="0" w:line="240" w:lineRule="auto"/>
              <w:rPr>
                <w:rFonts w:eastAsia="Times New Roman" w:cstheme="minorHAnsi"/>
                <w:i/>
                <w:iCs/>
                <w:color w:val="000000"/>
                <w:lang w:eastAsia="sk-SK"/>
              </w:rPr>
            </w:pPr>
            <w:r w:rsidRPr="00193C6B">
              <w:rPr>
                <w:rFonts w:eastAsia="Times New Roman" w:cstheme="minorHAnsi"/>
                <w:i/>
                <w:iCs/>
                <w:color w:val="000000"/>
                <w:lang w:eastAsia="sk-SK"/>
              </w:rPr>
              <w:t>The paper has been published recently, therefore no citations are</w:t>
            </w:r>
            <w:r w:rsidR="00193C6B" w:rsidRPr="00193C6B">
              <w:rPr>
                <w:rFonts w:eastAsia="Times New Roman" w:cstheme="minorHAnsi"/>
                <w:i/>
                <w:iCs/>
                <w:color w:val="000000"/>
                <w:lang w:eastAsia="sk-SK"/>
              </w:rPr>
              <w:t xml:space="preserve"> registered.</w:t>
            </w:r>
          </w:p>
        </w:tc>
      </w:tr>
      <w:tr w:rsidR="00FF6B5A" w:rsidRPr="00FF6B5A" w14:paraId="3B46A17F" w14:textId="77777777" w:rsidTr="3D944358">
        <w:trPr>
          <w:trHeight w:val="1170"/>
        </w:trPr>
        <w:tc>
          <w:tcPr>
            <w:tcW w:w="0" w:type="auto"/>
            <w:shd w:val="clear" w:color="auto" w:fill="auto"/>
            <w:vAlign w:val="bottom"/>
            <w:hideMark/>
          </w:tcPr>
          <w:p w14:paraId="3A7A8DE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A311D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r>
            <w:r w:rsidRPr="00FF6B5A">
              <w:rPr>
                <w:rFonts w:ascii="Calibri" w:eastAsia="Times New Roman" w:hAnsi="Calibri" w:cs="Times New Roman"/>
                <w:i/>
                <w:iCs/>
                <w:color w:val="808080"/>
                <w:lang w:eastAsia="sk-SK"/>
              </w:rPr>
              <w:lastRenderedPageBreak/>
              <w:t>Rozsah do 200 slov v anglickom jazyku / Range up to 200 words in English</w:t>
            </w:r>
          </w:p>
        </w:tc>
        <w:tc>
          <w:tcPr>
            <w:tcW w:w="0" w:type="auto"/>
            <w:shd w:val="clear" w:color="auto" w:fill="auto"/>
          </w:tcPr>
          <w:p w14:paraId="46CC4938" w14:textId="77777777" w:rsidR="00164E76" w:rsidRDefault="004F5914" w:rsidP="000838BF">
            <w:pPr>
              <w:spacing w:after="0" w:line="240" w:lineRule="auto"/>
              <w:rPr>
                <w:rFonts w:eastAsia="Times New Roman" w:cstheme="minorHAnsi"/>
                <w:color w:val="000000"/>
                <w:lang w:eastAsia="sk-SK"/>
              </w:rPr>
            </w:pPr>
            <w:r w:rsidRPr="00CB3037">
              <w:rPr>
                <w:rFonts w:eastAsia="Times New Roman" w:cstheme="minorHAnsi"/>
                <w:color w:val="000000"/>
                <w:lang w:eastAsia="sk-SK"/>
              </w:rPr>
              <w:lastRenderedPageBreak/>
              <w:t xml:space="preserve">Výstup </w:t>
            </w:r>
            <w:r w:rsidR="000838BF">
              <w:rPr>
                <w:rFonts w:eastAsia="Times New Roman" w:cstheme="minorHAnsi"/>
                <w:color w:val="000000"/>
                <w:lang w:eastAsia="sk-SK"/>
              </w:rPr>
              <w:t>môže prispieť k</w:t>
            </w:r>
            <w:r w:rsidR="00F34077">
              <w:rPr>
                <w:rFonts w:eastAsia="Times New Roman" w:cstheme="minorHAnsi"/>
                <w:color w:val="000000"/>
                <w:lang w:eastAsia="sk-SK"/>
              </w:rPr>
              <w:t> pochopeniu funkčnosti legislatívnych a doktrinálnych reakcií na aktuálne výzvy medzinárodného práva súkromného a procesného</w:t>
            </w:r>
            <w:r w:rsidR="000838BF">
              <w:rPr>
                <w:rFonts w:eastAsia="Times New Roman" w:cstheme="minorHAnsi"/>
                <w:color w:val="000000"/>
                <w:lang w:eastAsia="sk-SK"/>
              </w:rPr>
              <w:t>.</w:t>
            </w:r>
            <w:r w:rsidR="00F34077">
              <w:rPr>
                <w:rFonts w:eastAsia="Times New Roman" w:cstheme="minorHAnsi"/>
                <w:color w:val="000000"/>
                <w:lang w:eastAsia="sk-SK"/>
              </w:rPr>
              <w:t xml:space="preserve"> Nastavuje zrkadlo</w:t>
            </w:r>
            <w:r w:rsidR="006668D3">
              <w:rPr>
                <w:rFonts w:eastAsia="Times New Roman" w:cstheme="minorHAnsi"/>
                <w:color w:val="000000"/>
                <w:lang w:eastAsia="sk-SK"/>
              </w:rPr>
              <w:t xml:space="preserve"> slovenskej</w:t>
            </w:r>
            <w:r w:rsidR="00F34077">
              <w:rPr>
                <w:rFonts w:eastAsia="Times New Roman" w:cstheme="minorHAnsi"/>
                <w:color w:val="000000"/>
                <w:lang w:eastAsia="sk-SK"/>
              </w:rPr>
              <w:t xml:space="preserve"> legislatíve a indikuje problémy, ktoré sú vyvolané neprispôsobením vnútroštátneho právneho poriadku v tej časti, ktorá nie je predmetom európskej unifikácie. Vznikajú tak nechcené legislatívne a aplikačné protichodnosti, ktorým je potrebné čeliť. Príspevok približuje </w:t>
            </w:r>
            <w:r w:rsidR="006668D3">
              <w:rPr>
                <w:rFonts w:eastAsia="Times New Roman" w:cstheme="minorHAnsi"/>
                <w:color w:val="000000"/>
                <w:lang w:eastAsia="sk-SK"/>
              </w:rPr>
              <w:t xml:space="preserve">problémy, s ktorými legislatíva posledných desať rokov bojovala, ako aj problémy, ktoré v tom čase legislatíva sama vytvorila. Zásadný význam pre aplikačnú prax majú závery ohľadne nevhodnej legislatívnej konštrukcie </w:t>
            </w:r>
            <w:r w:rsidR="006668D3">
              <w:rPr>
                <w:rFonts w:eastAsia="Times New Roman" w:cstheme="minorHAnsi"/>
                <w:color w:val="000000"/>
                <w:lang w:eastAsia="sk-SK"/>
              </w:rPr>
              <w:lastRenderedPageBreak/>
              <w:t>preferencie slovenského práva v spotrebiteľských veciach, ktorá je v rozpore s právom EÚ.</w:t>
            </w:r>
            <w:r w:rsidR="00F34077">
              <w:rPr>
                <w:rFonts w:eastAsia="Times New Roman" w:cstheme="minorHAnsi"/>
                <w:color w:val="000000"/>
                <w:lang w:eastAsia="sk-SK"/>
              </w:rPr>
              <w:t xml:space="preserve"> </w:t>
            </w:r>
          </w:p>
          <w:p w14:paraId="78B40EF5" w14:textId="77777777" w:rsidR="006668D3" w:rsidRDefault="006668D3" w:rsidP="000838BF">
            <w:pPr>
              <w:spacing w:after="0" w:line="240" w:lineRule="auto"/>
              <w:rPr>
                <w:rFonts w:eastAsia="Times New Roman" w:cstheme="minorHAnsi"/>
                <w:i/>
                <w:iCs/>
                <w:color w:val="000000"/>
                <w:lang w:eastAsia="sk-SK"/>
              </w:rPr>
            </w:pPr>
          </w:p>
          <w:p w14:paraId="2CF12C8B" w14:textId="682C4C3F" w:rsidR="006668D3" w:rsidRPr="00CB3037" w:rsidRDefault="00B40CEB" w:rsidP="000838BF">
            <w:pPr>
              <w:spacing w:after="0" w:line="240" w:lineRule="auto"/>
              <w:rPr>
                <w:rFonts w:eastAsia="Times New Roman" w:cstheme="minorHAnsi"/>
                <w:i/>
                <w:iCs/>
                <w:color w:val="000000"/>
                <w:lang w:eastAsia="sk-SK"/>
              </w:rPr>
            </w:pPr>
            <w:r w:rsidRPr="00B40CEB">
              <w:rPr>
                <w:rFonts w:eastAsia="Times New Roman" w:cstheme="minorHAnsi"/>
                <w:i/>
                <w:iCs/>
                <w:color w:val="000000"/>
                <w:lang w:eastAsia="sk-SK"/>
              </w:rPr>
              <w:t xml:space="preserve">The </w:t>
            </w:r>
            <w:r>
              <w:rPr>
                <w:rFonts w:eastAsia="Times New Roman" w:cstheme="minorHAnsi"/>
                <w:i/>
                <w:iCs/>
                <w:color w:val="000000"/>
                <w:lang w:eastAsia="sk-SK"/>
              </w:rPr>
              <w:t>paper</w:t>
            </w:r>
            <w:r w:rsidRPr="00B40CEB">
              <w:rPr>
                <w:rFonts w:eastAsia="Times New Roman" w:cstheme="minorHAnsi"/>
                <w:i/>
                <w:iCs/>
                <w:color w:val="000000"/>
                <w:lang w:eastAsia="sk-SK"/>
              </w:rPr>
              <w:t xml:space="preserve"> may contribute to the understanding of the functionality of legislative and doctrinal responses to the current challenges of private and procedural international law. It sets a mirror to the Slovak legislation and indicates the problems caused by the non-adaptation of the national legal order in the part that is not subject to European unification. This creates unwanted legislative and application contradictions that need to be addressed. The paper brings together the problems that the legislation has been struggling with for the last ten years, as well as the problems that the legislation itself has created in the meantime. Of fundamental importance for the application practice are the conclusions regarding the inappropriate legislative construction of the preference of Slovak law in consumer matters, which is contrary to EU law.</w:t>
            </w:r>
          </w:p>
        </w:tc>
      </w:tr>
      <w:tr w:rsidR="00FF6B5A" w:rsidRPr="00FF6B5A" w14:paraId="6B2AB384" w14:textId="77777777" w:rsidTr="3D944358">
        <w:trPr>
          <w:trHeight w:val="1290"/>
        </w:trPr>
        <w:tc>
          <w:tcPr>
            <w:tcW w:w="0" w:type="auto"/>
            <w:shd w:val="clear" w:color="auto" w:fill="auto"/>
            <w:vAlign w:val="bottom"/>
            <w:hideMark/>
          </w:tcPr>
          <w:p w14:paraId="1FAE46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7BC6F94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0013BEE1" w14:textId="6ECB84B3" w:rsidR="00FF6B5A" w:rsidRDefault="00DA4CF5"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Publikáci</w:t>
            </w:r>
            <w:r w:rsidR="000838BF">
              <w:rPr>
                <w:rFonts w:ascii="Calibri" w:eastAsia="Times New Roman" w:hAnsi="Calibri" w:cs="Times New Roman"/>
                <w:color w:val="000000"/>
                <w:lang w:eastAsia="sk-SK"/>
              </w:rPr>
              <w:t>a je využiteľná najmä vo výučbe zahraničných študentov</w:t>
            </w:r>
            <w:r w:rsidR="00215437">
              <w:rPr>
                <w:rFonts w:ascii="Calibri" w:eastAsia="Times New Roman" w:hAnsi="Calibri" w:cs="Times New Roman"/>
                <w:color w:val="000000"/>
                <w:lang w:eastAsia="sk-SK"/>
              </w:rPr>
              <w:t xml:space="preserve"> a študentov v treťom stupni štúdia</w:t>
            </w:r>
            <w:r w:rsidR="000838BF">
              <w:rPr>
                <w:rFonts w:ascii="Calibri" w:eastAsia="Times New Roman" w:hAnsi="Calibri" w:cs="Times New Roman"/>
                <w:color w:val="000000"/>
                <w:lang w:eastAsia="sk-SK"/>
              </w:rPr>
              <w:t>. Môže tiež slúžiť pre výskum zahraničných doktorandov</w:t>
            </w:r>
            <w:r>
              <w:rPr>
                <w:rFonts w:ascii="Calibri" w:eastAsia="Times New Roman" w:hAnsi="Calibri" w:cs="Times New Roman"/>
                <w:color w:val="000000"/>
                <w:lang w:eastAsia="sk-SK"/>
              </w:rPr>
              <w:t xml:space="preserve">.  </w:t>
            </w:r>
          </w:p>
          <w:p w14:paraId="0D58BEEB" w14:textId="77777777" w:rsidR="00E620D5" w:rsidRDefault="00E620D5" w:rsidP="00E620D5">
            <w:pPr>
              <w:spacing w:after="0" w:line="240" w:lineRule="auto"/>
              <w:rPr>
                <w:rFonts w:ascii="Calibri" w:eastAsia="Times New Roman" w:hAnsi="Calibri" w:cs="Times New Roman"/>
                <w:color w:val="000000"/>
                <w:lang w:eastAsia="sk-SK"/>
              </w:rPr>
            </w:pPr>
          </w:p>
          <w:p w14:paraId="1B56C75B" w14:textId="055A711F" w:rsidR="00E620D5" w:rsidRPr="00FF6B5A" w:rsidRDefault="000838BF" w:rsidP="00E620D5">
            <w:pPr>
              <w:spacing w:after="0" w:line="240" w:lineRule="auto"/>
              <w:rPr>
                <w:rFonts w:ascii="Calibri" w:eastAsia="Times New Roman" w:hAnsi="Calibri" w:cs="Times New Roman"/>
                <w:color w:val="000000"/>
                <w:lang w:eastAsia="sk-SK"/>
              </w:rPr>
            </w:pPr>
            <w:r w:rsidRPr="000838BF">
              <w:rPr>
                <w:rFonts w:ascii="Calibri" w:eastAsia="Times New Roman" w:hAnsi="Calibri" w:cs="Times New Roman"/>
                <w:i/>
                <w:iCs/>
                <w:color w:val="000000"/>
                <w:lang w:eastAsia="sk-SK"/>
              </w:rPr>
              <w:t>The publication is particularly useful in teaching foreign students</w:t>
            </w:r>
            <w:r w:rsidR="00215437">
              <w:rPr>
                <w:rFonts w:ascii="Calibri" w:eastAsia="Times New Roman" w:hAnsi="Calibri" w:cs="Times New Roman"/>
                <w:i/>
                <w:iCs/>
                <w:color w:val="000000"/>
                <w:lang w:eastAsia="sk-SK"/>
              </w:rPr>
              <w:t xml:space="preserve"> and in the third </w:t>
            </w:r>
            <w:r w:rsidR="00FB49CD">
              <w:rPr>
                <w:rFonts w:ascii="Calibri" w:eastAsia="Times New Roman" w:hAnsi="Calibri" w:cs="Times New Roman"/>
                <w:i/>
                <w:iCs/>
                <w:color w:val="000000"/>
                <w:lang w:eastAsia="sk-SK"/>
              </w:rPr>
              <w:t>level</w:t>
            </w:r>
            <w:r w:rsidR="00215437">
              <w:rPr>
                <w:rFonts w:ascii="Calibri" w:eastAsia="Times New Roman" w:hAnsi="Calibri" w:cs="Times New Roman"/>
                <w:i/>
                <w:iCs/>
                <w:color w:val="000000"/>
                <w:lang w:eastAsia="sk-SK"/>
              </w:rPr>
              <w:t xml:space="preserve"> of study</w:t>
            </w:r>
            <w:r w:rsidRPr="000838BF">
              <w:rPr>
                <w:rFonts w:ascii="Calibri" w:eastAsia="Times New Roman" w:hAnsi="Calibri" w:cs="Times New Roman"/>
                <w:i/>
                <w:iCs/>
                <w:color w:val="000000"/>
                <w:lang w:eastAsia="sk-SK"/>
              </w:rPr>
              <w:t xml:space="preserve">. It can also serve for research </w:t>
            </w:r>
            <w:r w:rsidR="00215437">
              <w:rPr>
                <w:rFonts w:ascii="Calibri" w:eastAsia="Times New Roman" w:hAnsi="Calibri" w:cs="Times New Roman"/>
                <w:i/>
                <w:iCs/>
                <w:color w:val="000000"/>
                <w:lang w:eastAsia="sk-SK"/>
              </w:rPr>
              <w:t>by</w:t>
            </w:r>
            <w:r w:rsidRPr="000838BF">
              <w:rPr>
                <w:rFonts w:ascii="Calibri" w:eastAsia="Times New Roman" w:hAnsi="Calibri" w:cs="Times New Roman"/>
                <w:i/>
                <w:iCs/>
                <w:color w:val="000000"/>
                <w:lang w:eastAsia="sk-SK"/>
              </w:rPr>
              <w:t xml:space="preserve"> foreign PhD students</w:t>
            </w:r>
          </w:p>
        </w:tc>
      </w:tr>
      <w:tr w:rsidR="00FF6B5A" w:rsidRPr="00FF6B5A" w14:paraId="5D0976C9" w14:textId="77777777" w:rsidTr="3D944358">
        <w:trPr>
          <w:trHeight w:val="204"/>
        </w:trPr>
        <w:tc>
          <w:tcPr>
            <w:tcW w:w="0" w:type="auto"/>
            <w:shd w:val="clear" w:color="auto" w:fill="auto"/>
            <w:vAlign w:val="bottom"/>
            <w:hideMark/>
          </w:tcPr>
          <w:p w14:paraId="6035B7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7C9CC5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3B15BA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6170AE3"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4F1EF26E" w14:textId="77777777" w:rsidR="00502F15" w:rsidRDefault="00502F15"/>
    <w:sectPr w:rsidR="00502F15"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17A5" w14:textId="77777777" w:rsidR="00FF54C5" w:rsidRDefault="00FF54C5" w:rsidP="00816E73">
      <w:pPr>
        <w:spacing w:after="0" w:line="240" w:lineRule="auto"/>
      </w:pPr>
      <w:r>
        <w:separator/>
      </w:r>
    </w:p>
  </w:endnote>
  <w:endnote w:type="continuationSeparator" w:id="0">
    <w:p w14:paraId="1356E3F9" w14:textId="77777777" w:rsidR="00FF54C5" w:rsidRDefault="00FF54C5"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713"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F9F0" w14:textId="77777777" w:rsidR="00A23768" w:rsidRDefault="00A23768">
    <w:pPr>
      <w:pStyle w:val="Pta"/>
    </w:pPr>
    <w:r w:rsidRPr="00A23768">
      <w:t>T_Z_VTCAj_1/ 2020</w:t>
    </w:r>
  </w:p>
  <w:p w14:paraId="52AD5802"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3F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2960" w14:textId="77777777" w:rsidR="00FF54C5" w:rsidRDefault="00FF54C5" w:rsidP="00816E73">
      <w:pPr>
        <w:spacing w:after="0" w:line="240" w:lineRule="auto"/>
      </w:pPr>
      <w:r>
        <w:separator/>
      </w:r>
    </w:p>
  </w:footnote>
  <w:footnote w:type="continuationSeparator" w:id="0">
    <w:p w14:paraId="7DE4E836" w14:textId="77777777" w:rsidR="00FF54C5" w:rsidRDefault="00FF54C5" w:rsidP="00816E73">
      <w:pPr>
        <w:spacing w:after="0" w:line="240" w:lineRule="auto"/>
      </w:pPr>
      <w:r>
        <w:continuationSeparator/>
      </w:r>
    </w:p>
  </w:footnote>
  <w:footnote w:id="1">
    <w:p w14:paraId="2CD787C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6380347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4869469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09C50F4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67E6FDA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239D4BE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6476AAA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377D7D3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6438A74D"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FB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520C"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0A3E7C4A" wp14:editId="1A32E067">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AA4514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F920"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9F9"/>
    <w:multiLevelType w:val="hybridMultilevel"/>
    <w:tmpl w:val="3C04E8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146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00559"/>
    <w:rsid w:val="00011981"/>
    <w:rsid w:val="00051F5A"/>
    <w:rsid w:val="000636E9"/>
    <w:rsid w:val="00076523"/>
    <w:rsid w:val="0008088C"/>
    <w:rsid w:val="000838BF"/>
    <w:rsid w:val="00087B3E"/>
    <w:rsid w:val="000F0CE9"/>
    <w:rsid w:val="00102D82"/>
    <w:rsid w:val="00112F47"/>
    <w:rsid w:val="00164E76"/>
    <w:rsid w:val="00172A9E"/>
    <w:rsid w:val="00193C6B"/>
    <w:rsid w:val="001A42DD"/>
    <w:rsid w:val="001E041E"/>
    <w:rsid w:val="001E5182"/>
    <w:rsid w:val="001F26CD"/>
    <w:rsid w:val="00215437"/>
    <w:rsid w:val="00222794"/>
    <w:rsid w:val="00244A26"/>
    <w:rsid w:val="00255867"/>
    <w:rsid w:val="002F7738"/>
    <w:rsid w:val="003066C7"/>
    <w:rsid w:val="00363C3C"/>
    <w:rsid w:val="00375713"/>
    <w:rsid w:val="003B17F8"/>
    <w:rsid w:val="003C7698"/>
    <w:rsid w:val="004038BC"/>
    <w:rsid w:val="00422600"/>
    <w:rsid w:val="00430CF4"/>
    <w:rsid w:val="00457E52"/>
    <w:rsid w:val="0047355F"/>
    <w:rsid w:val="00474372"/>
    <w:rsid w:val="00484CBC"/>
    <w:rsid w:val="004A4A06"/>
    <w:rsid w:val="004D5CBD"/>
    <w:rsid w:val="004E4845"/>
    <w:rsid w:val="004F5914"/>
    <w:rsid w:val="00502F15"/>
    <w:rsid w:val="0053021C"/>
    <w:rsid w:val="00532FE9"/>
    <w:rsid w:val="0053563B"/>
    <w:rsid w:val="00546BD2"/>
    <w:rsid w:val="005622F0"/>
    <w:rsid w:val="00572798"/>
    <w:rsid w:val="00573023"/>
    <w:rsid w:val="005A5140"/>
    <w:rsid w:val="005B4A19"/>
    <w:rsid w:val="00615BB4"/>
    <w:rsid w:val="006668D3"/>
    <w:rsid w:val="00675F63"/>
    <w:rsid w:val="006849EB"/>
    <w:rsid w:val="006E44F1"/>
    <w:rsid w:val="006F182B"/>
    <w:rsid w:val="00710B7D"/>
    <w:rsid w:val="00777AED"/>
    <w:rsid w:val="00793032"/>
    <w:rsid w:val="007A286E"/>
    <w:rsid w:val="007B7238"/>
    <w:rsid w:val="008062B7"/>
    <w:rsid w:val="00816E73"/>
    <w:rsid w:val="00852CC7"/>
    <w:rsid w:val="00877F9F"/>
    <w:rsid w:val="008B78D7"/>
    <w:rsid w:val="008E2108"/>
    <w:rsid w:val="009235FE"/>
    <w:rsid w:val="00942518"/>
    <w:rsid w:val="009547F9"/>
    <w:rsid w:val="00975300"/>
    <w:rsid w:val="00980601"/>
    <w:rsid w:val="00A23768"/>
    <w:rsid w:val="00A34487"/>
    <w:rsid w:val="00B11CC7"/>
    <w:rsid w:val="00B15040"/>
    <w:rsid w:val="00B22EA0"/>
    <w:rsid w:val="00B40CEB"/>
    <w:rsid w:val="00B42805"/>
    <w:rsid w:val="00BA1526"/>
    <w:rsid w:val="00BD284C"/>
    <w:rsid w:val="00C40D4D"/>
    <w:rsid w:val="00C63E2F"/>
    <w:rsid w:val="00C86832"/>
    <w:rsid w:val="00CB3037"/>
    <w:rsid w:val="00CD55EB"/>
    <w:rsid w:val="00CE5D14"/>
    <w:rsid w:val="00CF73E7"/>
    <w:rsid w:val="00D64B7C"/>
    <w:rsid w:val="00D733AB"/>
    <w:rsid w:val="00DA4CF5"/>
    <w:rsid w:val="00DF77E6"/>
    <w:rsid w:val="00E620D5"/>
    <w:rsid w:val="00EA434E"/>
    <w:rsid w:val="00EC403D"/>
    <w:rsid w:val="00F048A8"/>
    <w:rsid w:val="00F16939"/>
    <w:rsid w:val="00F310E7"/>
    <w:rsid w:val="00F34077"/>
    <w:rsid w:val="00F83BCB"/>
    <w:rsid w:val="00FB49CD"/>
    <w:rsid w:val="00FE27EC"/>
    <w:rsid w:val="00FF54C5"/>
    <w:rsid w:val="00FF6B5A"/>
    <w:rsid w:val="2C6CD09B"/>
    <w:rsid w:val="3D944358"/>
    <w:rsid w:val="63AA3D16"/>
    <w:rsid w:val="6EBCB1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5338"/>
  <w15:docId w15:val="{EB62095B-05E5-40B4-89EC-704BB8FC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3C7698"/>
    <w:rPr>
      <w:color w:val="605E5C"/>
      <w:shd w:val="clear" w:color="auto" w:fill="E1DFDD"/>
    </w:rPr>
  </w:style>
  <w:style w:type="paragraph" w:styleId="Odsekzoznamu">
    <w:name w:val="List Paragraph"/>
    <w:basedOn w:val="Normlny"/>
    <w:uiPriority w:val="34"/>
    <w:qFormat/>
    <w:rsid w:val="003C7698"/>
    <w:pPr>
      <w:ind w:left="720"/>
      <w:contextualSpacing/>
    </w:pPr>
  </w:style>
  <w:style w:type="paragraph" w:customStyle="1" w:styleId="paragraph">
    <w:name w:val="paragraph"/>
    <w:basedOn w:val="Normlny"/>
    <w:rsid w:val="00B22EA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22EA0"/>
  </w:style>
  <w:style w:type="character" w:customStyle="1" w:styleId="spellingerror">
    <w:name w:val="spellingerror"/>
    <w:basedOn w:val="Predvolenpsmoodseku"/>
    <w:rsid w:val="00B22EA0"/>
  </w:style>
  <w:style w:type="character" w:customStyle="1" w:styleId="eop">
    <w:name w:val="eop"/>
    <w:basedOn w:val="Predvolenpsmoodseku"/>
    <w:rsid w:val="00B22EA0"/>
  </w:style>
  <w:style w:type="character" w:customStyle="1" w:styleId="authorname">
    <w:name w:val="author_name"/>
    <w:basedOn w:val="Predvolenpsmoodseku"/>
    <w:rsid w:val="004A4A06"/>
  </w:style>
  <w:style w:type="paragraph" w:customStyle="1" w:styleId="Default">
    <w:name w:val="Default"/>
    <w:rsid w:val="00F048A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100174287">
      <w:bodyDiv w:val="1"/>
      <w:marLeft w:val="0"/>
      <w:marRight w:val="0"/>
      <w:marTop w:val="0"/>
      <w:marBottom w:val="0"/>
      <w:divBdr>
        <w:top w:val="none" w:sz="0" w:space="0" w:color="auto"/>
        <w:left w:val="none" w:sz="0" w:space="0" w:color="auto"/>
        <w:bottom w:val="none" w:sz="0" w:space="0" w:color="auto"/>
        <w:right w:val="none" w:sz="0" w:space="0" w:color="auto"/>
      </w:divBdr>
      <w:divsChild>
        <w:div w:id="1306739204">
          <w:marLeft w:val="0"/>
          <w:marRight w:val="0"/>
          <w:marTop w:val="0"/>
          <w:marBottom w:val="0"/>
          <w:divBdr>
            <w:top w:val="none" w:sz="0" w:space="0" w:color="auto"/>
            <w:left w:val="none" w:sz="0" w:space="0" w:color="auto"/>
            <w:bottom w:val="none" w:sz="0" w:space="0" w:color="auto"/>
            <w:right w:val="none" w:sz="0" w:space="0" w:color="auto"/>
          </w:divBdr>
        </w:div>
      </w:divsChild>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C0FD2-C051-44F3-AC70-30101602534E}">
  <ds:schemaRefs>
    <ds:schemaRef ds:uri="http://schemas.microsoft.com/sharepoint/v3/contenttype/forms"/>
  </ds:schemaRefs>
</ds:datastoreItem>
</file>

<file path=customXml/itemProps2.xml><?xml version="1.0" encoding="utf-8"?>
<ds:datastoreItem xmlns:ds="http://schemas.openxmlformats.org/officeDocument/2006/customXml" ds:itemID="{C8BE4BFA-FC9A-4D37-8AAE-8FDD4117B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4.xml><?xml version="1.0" encoding="utf-8"?>
<ds:datastoreItem xmlns:ds="http://schemas.openxmlformats.org/officeDocument/2006/customXml" ds:itemID="{4AE48154-2D67-4B95-9AAE-AE99C910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1873</Words>
  <Characters>10681</Characters>
  <Application>Microsoft Office Word</Application>
  <DocSecurity>0</DocSecurity>
  <Lines>89</Lines>
  <Paragraphs>25</Paragraphs>
  <ScaleCrop>false</ScaleCrop>
  <Company>Trnavska univerzita</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21</cp:revision>
  <dcterms:created xsi:type="dcterms:W3CDTF">2022-01-11T22:29:00Z</dcterms:created>
  <dcterms:modified xsi:type="dcterms:W3CDTF">2025-11-05T09:56:00Z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73300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