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3F220" w14:textId="77777777" w:rsidR="00280461" w:rsidRPr="000730CC" w:rsidRDefault="00E83855" w:rsidP="0059593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Klinika azylového práva I. </w:t>
      </w:r>
    </w:p>
    <w:p w14:paraId="6A3CA258" w14:textId="77777777" w:rsidR="00280461" w:rsidRPr="00D75F7A" w:rsidRDefault="00280461" w:rsidP="0059593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5F7A">
        <w:rPr>
          <w:rFonts w:ascii="Times New Roman" w:hAnsi="Times New Roman"/>
          <w:b/>
          <w:sz w:val="24"/>
          <w:szCs w:val="24"/>
        </w:rPr>
        <w:t>Úvod do predmetu</w:t>
      </w:r>
      <w:r w:rsidR="00843144" w:rsidRPr="00D75F7A">
        <w:rPr>
          <w:rFonts w:ascii="Times New Roman" w:hAnsi="Times New Roman"/>
          <w:b/>
          <w:sz w:val="24"/>
          <w:szCs w:val="24"/>
        </w:rPr>
        <w:t xml:space="preserve"> Klinika azylového práva I.</w:t>
      </w:r>
      <w:r w:rsidRPr="00D75F7A">
        <w:rPr>
          <w:rFonts w:ascii="Times New Roman" w:hAnsi="Times New Roman"/>
          <w:b/>
          <w:sz w:val="24"/>
          <w:szCs w:val="24"/>
        </w:rPr>
        <w:t>;</w:t>
      </w:r>
    </w:p>
    <w:p w14:paraId="332CF963" w14:textId="77777777" w:rsidR="00280461" w:rsidRPr="000730CC" w:rsidRDefault="00843144" w:rsidP="0059593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Migrácia a jej formy</w:t>
      </w:r>
      <w:r w:rsidR="00280461" w:rsidRPr="000730CC">
        <w:rPr>
          <w:rFonts w:ascii="Times New Roman" w:hAnsi="Times New Roman"/>
          <w:i/>
          <w:sz w:val="24"/>
          <w:szCs w:val="24"/>
        </w:rPr>
        <w:t>;</w:t>
      </w:r>
    </w:p>
    <w:p w14:paraId="5F6828A0" w14:textId="77777777" w:rsidR="00280461" w:rsidRPr="000730CC" w:rsidRDefault="00843144" w:rsidP="0059593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Medzinárodná ochrana</w:t>
      </w:r>
      <w:r w:rsidR="00280461" w:rsidRPr="000730CC">
        <w:rPr>
          <w:rFonts w:ascii="Times New Roman" w:hAnsi="Times New Roman"/>
          <w:i/>
          <w:sz w:val="24"/>
          <w:szCs w:val="24"/>
        </w:rPr>
        <w:t>;</w:t>
      </w:r>
    </w:p>
    <w:p w14:paraId="39EB5DEA" w14:textId="77777777" w:rsidR="00280461" w:rsidRPr="000730CC" w:rsidRDefault="00843144" w:rsidP="0059593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Azylové právo</w:t>
      </w:r>
      <w:r w:rsidR="00280461" w:rsidRPr="000730CC">
        <w:rPr>
          <w:rFonts w:ascii="Times New Roman" w:hAnsi="Times New Roman"/>
          <w:i/>
          <w:sz w:val="24"/>
          <w:szCs w:val="24"/>
        </w:rPr>
        <w:t>;</w:t>
      </w:r>
    </w:p>
    <w:p w14:paraId="157EA10B" w14:textId="77777777" w:rsidR="00843144" w:rsidRPr="008C367E" w:rsidRDefault="00843144" w:rsidP="008C367E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Utečenecké právo</w:t>
      </w:r>
      <w:r w:rsidR="00280461" w:rsidRPr="000730CC">
        <w:rPr>
          <w:rFonts w:ascii="Times New Roman" w:hAnsi="Times New Roman"/>
          <w:i/>
          <w:sz w:val="24"/>
          <w:szCs w:val="24"/>
        </w:rPr>
        <w:t>.</w:t>
      </w:r>
    </w:p>
    <w:p w14:paraId="35F4DDF7" w14:textId="77777777" w:rsidR="00843144" w:rsidRPr="00D75F7A" w:rsidRDefault="00843144" w:rsidP="00D75F7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DF424B3" w14:textId="77777777" w:rsidR="00280461" w:rsidRPr="00D75F7A" w:rsidRDefault="00843144" w:rsidP="0059593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5F7A">
        <w:rPr>
          <w:rFonts w:ascii="Times New Roman" w:hAnsi="Times New Roman"/>
          <w:b/>
          <w:sz w:val="24"/>
          <w:szCs w:val="24"/>
        </w:rPr>
        <w:t>Medzinárodné organizácie poskytujúce ochranu utečencom</w:t>
      </w:r>
      <w:r w:rsidR="00280461" w:rsidRPr="00D75F7A">
        <w:rPr>
          <w:rFonts w:ascii="Times New Roman" w:hAnsi="Times New Roman"/>
          <w:b/>
          <w:sz w:val="24"/>
          <w:szCs w:val="24"/>
        </w:rPr>
        <w:t>;</w:t>
      </w:r>
    </w:p>
    <w:p w14:paraId="6A30A3F1" w14:textId="77777777" w:rsidR="00280461" w:rsidRDefault="00843144" w:rsidP="000730CC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Stručný prehľad o organizáciách poskytujúcich ochranu do roku 1945</w:t>
      </w:r>
      <w:r w:rsidR="00280461" w:rsidRPr="000730CC">
        <w:rPr>
          <w:rFonts w:ascii="Times New Roman" w:hAnsi="Times New Roman"/>
          <w:i/>
          <w:sz w:val="24"/>
          <w:szCs w:val="24"/>
        </w:rPr>
        <w:t>;</w:t>
      </w:r>
    </w:p>
    <w:p w14:paraId="670E483D" w14:textId="77777777" w:rsidR="00280461" w:rsidRDefault="00843144" w:rsidP="000730CC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Organizácia Spojených národov všeobecne</w:t>
      </w:r>
      <w:r w:rsidR="00280461">
        <w:rPr>
          <w:rFonts w:ascii="Times New Roman" w:hAnsi="Times New Roman"/>
          <w:i/>
          <w:sz w:val="24"/>
          <w:szCs w:val="24"/>
        </w:rPr>
        <w:t>;</w:t>
      </w:r>
    </w:p>
    <w:p w14:paraId="29F63762" w14:textId="77777777" w:rsidR="00280461" w:rsidRDefault="00843144" w:rsidP="000730CC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Úrad Vysokého komisára OSN pre utečencov (UNHCR)</w:t>
      </w:r>
      <w:r w:rsidR="00280461">
        <w:rPr>
          <w:rFonts w:ascii="Times New Roman" w:hAnsi="Times New Roman"/>
          <w:i/>
          <w:sz w:val="24"/>
          <w:szCs w:val="24"/>
        </w:rPr>
        <w:t>;</w:t>
      </w:r>
    </w:p>
    <w:p w14:paraId="65B781AB" w14:textId="77777777" w:rsidR="00843144" w:rsidRPr="00E93200" w:rsidRDefault="00843144" w:rsidP="000730CC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Medzinárodná organizácia pre utečencov</w:t>
      </w:r>
      <w:r w:rsidR="0024194E">
        <w:rPr>
          <w:rFonts w:ascii="Times New Roman" w:hAnsi="Times New Roman"/>
          <w:i/>
          <w:sz w:val="24"/>
          <w:szCs w:val="24"/>
        </w:rPr>
        <w:t xml:space="preserve"> (IOM)</w:t>
      </w:r>
      <w:r w:rsidR="007C26B3">
        <w:rPr>
          <w:rFonts w:ascii="Times New Roman" w:hAnsi="Times New Roman"/>
          <w:i/>
          <w:sz w:val="24"/>
          <w:szCs w:val="24"/>
        </w:rPr>
        <w:t>.</w:t>
      </w:r>
    </w:p>
    <w:p w14:paraId="4BF65982" w14:textId="77777777" w:rsidR="00843144" w:rsidRPr="000730CC" w:rsidRDefault="00843144" w:rsidP="000730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D4A8A4" w14:textId="77777777" w:rsidR="00280461" w:rsidRPr="00D75F7A" w:rsidRDefault="00843144" w:rsidP="0059593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5F7A">
        <w:rPr>
          <w:rFonts w:ascii="Times New Roman" w:hAnsi="Times New Roman"/>
          <w:b/>
          <w:sz w:val="24"/>
          <w:szCs w:val="24"/>
        </w:rPr>
        <w:t>Dohovor o právnom postavení utečencov z roku 1951</w:t>
      </w:r>
      <w:r w:rsidR="00081965">
        <w:rPr>
          <w:rFonts w:ascii="Times New Roman" w:hAnsi="Times New Roman"/>
          <w:b/>
          <w:sz w:val="24"/>
          <w:szCs w:val="24"/>
        </w:rPr>
        <w:t xml:space="preserve"> </w:t>
      </w:r>
      <w:r w:rsidRPr="00D75F7A">
        <w:rPr>
          <w:rFonts w:ascii="Times New Roman" w:hAnsi="Times New Roman"/>
          <w:b/>
          <w:sz w:val="24"/>
          <w:szCs w:val="24"/>
        </w:rPr>
        <w:t>a Protokol týkajúci sa právneho postavenia utečencov z roku 1967 (1.</w:t>
      </w:r>
      <w:r w:rsidR="00E83855">
        <w:rPr>
          <w:rFonts w:ascii="Times New Roman" w:hAnsi="Times New Roman"/>
          <w:b/>
          <w:sz w:val="24"/>
          <w:szCs w:val="24"/>
        </w:rPr>
        <w:t xml:space="preserve"> </w:t>
      </w:r>
      <w:r w:rsidRPr="00D75F7A">
        <w:rPr>
          <w:rFonts w:ascii="Times New Roman" w:hAnsi="Times New Roman"/>
          <w:b/>
          <w:sz w:val="24"/>
          <w:szCs w:val="24"/>
        </w:rPr>
        <w:t>časť)</w:t>
      </w:r>
      <w:r w:rsidR="00280461" w:rsidRPr="00D75F7A">
        <w:rPr>
          <w:rFonts w:ascii="Times New Roman" w:hAnsi="Times New Roman"/>
          <w:b/>
          <w:sz w:val="24"/>
          <w:szCs w:val="24"/>
        </w:rPr>
        <w:t>;</w:t>
      </w:r>
    </w:p>
    <w:p w14:paraId="2D56824E" w14:textId="77777777" w:rsidR="00081965" w:rsidRPr="008418EF" w:rsidRDefault="00081965" w:rsidP="00081965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Zahrňujúce články: definícia utečenca, subjektívny a objektívny prvok definície;</w:t>
      </w:r>
    </w:p>
    <w:p w14:paraId="6AD1C54C" w14:textId="77777777" w:rsidR="00081965" w:rsidRDefault="00081965" w:rsidP="00081965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Dôvody prenasledovania: rasa, národnosť, náboženstvo, príslušnosť k určitej sociálnej skupine;</w:t>
      </w:r>
    </w:p>
    <w:p w14:paraId="0C8AE215" w14:textId="77777777" w:rsidR="00280461" w:rsidRDefault="00843144" w:rsidP="00D30AAF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Dôvody prenasledovania</w:t>
      </w:r>
      <w:r w:rsidR="00280461">
        <w:rPr>
          <w:rFonts w:ascii="Times New Roman" w:hAnsi="Times New Roman"/>
          <w:i/>
          <w:sz w:val="24"/>
          <w:szCs w:val="24"/>
        </w:rPr>
        <w:t>;</w:t>
      </w:r>
    </w:p>
    <w:p w14:paraId="471001A4" w14:textId="77777777" w:rsidR="00280461" w:rsidRPr="00D30AAF" w:rsidRDefault="00843144" w:rsidP="00D30AAF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Všeobecné zásady</w:t>
      </w:r>
      <w:r w:rsidR="00280461">
        <w:rPr>
          <w:rFonts w:ascii="Times New Roman" w:hAnsi="Times New Roman"/>
          <w:i/>
          <w:sz w:val="24"/>
          <w:szCs w:val="24"/>
        </w:rPr>
        <w:t>.</w:t>
      </w:r>
      <w:r w:rsidR="00280461" w:rsidRPr="00D30AAF">
        <w:rPr>
          <w:rFonts w:ascii="Times New Roman" w:hAnsi="Times New Roman"/>
          <w:i/>
          <w:sz w:val="24"/>
          <w:szCs w:val="24"/>
        </w:rPr>
        <w:t xml:space="preserve"> </w:t>
      </w:r>
    </w:p>
    <w:p w14:paraId="4C1BCB64" w14:textId="77777777" w:rsidR="004B4C6C" w:rsidRPr="00E93200" w:rsidRDefault="004B4C6C" w:rsidP="00E932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69ADC" w14:textId="77777777" w:rsidR="00280461" w:rsidRPr="00D75F7A" w:rsidRDefault="004B4C6C" w:rsidP="004B4C6C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5F7A">
        <w:rPr>
          <w:rFonts w:ascii="Times New Roman" w:hAnsi="Times New Roman"/>
          <w:b/>
          <w:sz w:val="24"/>
          <w:szCs w:val="24"/>
        </w:rPr>
        <w:t>Dohovor o právnom postavení utečencov z roku 1951</w:t>
      </w:r>
      <w:r w:rsidR="001313B6">
        <w:rPr>
          <w:rFonts w:ascii="Times New Roman" w:hAnsi="Times New Roman"/>
          <w:b/>
          <w:sz w:val="24"/>
          <w:szCs w:val="24"/>
        </w:rPr>
        <w:t xml:space="preserve"> </w:t>
      </w:r>
      <w:r w:rsidRPr="00D75F7A">
        <w:rPr>
          <w:rFonts w:ascii="Times New Roman" w:hAnsi="Times New Roman"/>
          <w:b/>
          <w:sz w:val="24"/>
          <w:szCs w:val="24"/>
        </w:rPr>
        <w:t>a Protokol týkajúci sa právneho postavenia utečencov z roku 1967 (2. časť);</w:t>
      </w:r>
    </w:p>
    <w:p w14:paraId="527FDA77" w14:textId="77777777" w:rsidR="00280461" w:rsidRDefault="00E93200" w:rsidP="00054FB6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Zánikové ustanovenia</w:t>
      </w:r>
      <w:r w:rsidR="00E83855" w:rsidRPr="00213F30">
        <w:rPr>
          <w:rFonts w:ascii="Times New Roman" w:hAnsi="Times New Roman"/>
          <w:i/>
          <w:sz w:val="24"/>
          <w:szCs w:val="24"/>
        </w:rPr>
        <w:t>;</w:t>
      </w:r>
    </w:p>
    <w:p w14:paraId="0DECDA54" w14:textId="77777777" w:rsidR="00280461" w:rsidRPr="00D30AAF" w:rsidRDefault="00E93200" w:rsidP="00054FB6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Vylučujúce ustanovenia</w:t>
      </w:r>
      <w:r w:rsidR="00E83855" w:rsidRPr="00213F30">
        <w:rPr>
          <w:rFonts w:ascii="Times New Roman" w:hAnsi="Times New Roman"/>
          <w:i/>
          <w:sz w:val="24"/>
          <w:szCs w:val="24"/>
        </w:rPr>
        <w:t>;</w:t>
      </w:r>
    </w:p>
    <w:p w14:paraId="52808CD9" w14:textId="77777777" w:rsidR="00E83855" w:rsidRPr="00E83855" w:rsidRDefault="00E93200" w:rsidP="00E83855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Princíp </w:t>
      </w:r>
      <w:proofErr w:type="spellStart"/>
      <w:r>
        <w:rPr>
          <w:rFonts w:ascii="Times New Roman" w:hAnsi="Times New Roman"/>
          <w:i/>
          <w:sz w:val="24"/>
          <w:szCs w:val="24"/>
        </w:rPr>
        <w:t>non-refoulement</w:t>
      </w:r>
      <w:proofErr w:type="spellEnd"/>
      <w:r w:rsidR="00E83855" w:rsidRPr="00213F30">
        <w:rPr>
          <w:rFonts w:ascii="Times New Roman" w:hAnsi="Times New Roman"/>
          <w:i/>
          <w:sz w:val="24"/>
          <w:szCs w:val="24"/>
        </w:rPr>
        <w:t>;</w:t>
      </w:r>
    </w:p>
    <w:p w14:paraId="28A853D9" w14:textId="77777777" w:rsidR="00280461" w:rsidRPr="00D30AAF" w:rsidRDefault="00E93200" w:rsidP="00833B58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Utečenci „sur place“, štatutárni utečenci, mandátni utečenci</w:t>
      </w:r>
      <w:r w:rsidR="00280461" w:rsidRPr="00D30AAF">
        <w:rPr>
          <w:rFonts w:ascii="Times New Roman" w:hAnsi="Times New Roman"/>
          <w:i/>
          <w:sz w:val="24"/>
          <w:szCs w:val="24"/>
        </w:rPr>
        <w:t>.</w:t>
      </w:r>
    </w:p>
    <w:p w14:paraId="5CA57EB4" w14:textId="77777777" w:rsidR="00280461" w:rsidRPr="00D30AAF" w:rsidRDefault="00280461" w:rsidP="00D30AAF">
      <w:pPr>
        <w:pStyle w:val="Odsekzoznamu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14:paraId="53FA952F" w14:textId="77777777" w:rsidR="00280461" w:rsidRPr="00D75F7A" w:rsidRDefault="00E93200" w:rsidP="0059593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5F7A">
        <w:rPr>
          <w:rFonts w:ascii="Times New Roman" w:hAnsi="Times New Roman"/>
          <w:b/>
          <w:sz w:val="24"/>
          <w:szCs w:val="24"/>
        </w:rPr>
        <w:t>Azylové právo Európskej únie</w:t>
      </w:r>
      <w:r w:rsidR="00997477">
        <w:rPr>
          <w:rFonts w:ascii="Times New Roman" w:hAnsi="Times New Roman"/>
          <w:b/>
          <w:sz w:val="24"/>
          <w:szCs w:val="24"/>
        </w:rPr>
        <w:t xml:space="preserve"> (1. časť)</w:t>
      </w:r>
      <w:r w:rsidR="00280461" w:rsidRPr="00D75F7A">
        <w:rPr>
          <w:rFonts w:ascii="Times New Roman" w:hAnsi="Times New Roman"/>
          <w:b/>
          <w:sz w:val="24"/>
          <w:szCs w:val="24"/>
        </w:rPr>
        <w:t xml:space="preserve">; </w:t>
      </w:r>
    </w:p>
    <w:p w14:paraId="4F3A0517" w14:textId="77777777" w:rsidR="00E93200" w:rsidRDefault="00D75F7A" w:rsidP="00D30AAF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</w:t>
      </w:r>
      <w:r w:rsidR="00E93200">
        <w:rPr>
          <w:rFonts w:ascii="Times New Roman" w:hAnsi="Times New Roman"/>
          <w:i/>
          <w:sz w:val="24"/>
          <w:szCs w:val="24"/>
        </w:rPr>
        <w:t>poločn</w:t>
      </w:r>
      <w:r>
        <w:rPr>
          <w:rFonts w:ascii="Times New Roman" w:hAnsi="Times New Roman"/>
          <w:i/>
          <w:sz w:val="24"/>
          <w:szCs w:val="24"/>
        </w:rPr>
        <w:t>ý</w:t>
      </w:r>
      <w:r w:rsidR="00E93200">
        <w:rPr>
          <w:rFonts w:ascii="Times New Roman" w:hAnsi="Times New Roman"/>
          <w:i/>
          <w:sz w:val="24"/>
          <w:szCs w:val="24"/>
        </w:rPr>
        <w:t xml:space="preserve"> európsk</w:t>
      </w:r>
      <w:r>
        <w:rPr>
          <w:rFonts w:ascii="Times New Roman" w:hAnsi="Times New Roman"/>
          <w:i/>
          <w:sz w:val="24"/>
          <w:szCs w:val="24"/>
        </w:rPr>
        <w:t>y</w:t>
      </w:r>
      <w:r w:rsidR="00E93200">
        <w:rPr>
          <w:rFonts w:ascii="Times New Roman" w:hAnsi="Times New Roman"/>
          <w:i/>
          <w:sz w:val="24"/>
          <w:szCs w:val="24"/>
        </w:rPr>
        <w:t xml:space="preserve"> azylov</w:t>
      </w:r>
      <w:r>
        <w:rPr>
          <w:rFonts w:ascii="Times New Roman" w:hAnsi="Times New Roman"/>
          <w:i/>
          <w:sz w:val="24"/>
          <w:szCs w:val="24"/>
        </w:rPr>
        <w:t>ý</w:t>
      </w:r>
      <w:r w:rsidR="00E93200">
        <w:rPr>
          <w:rFonts w:ascii="Times New Roman" w:hAnsi="Times New Roman"/>
          <w:i/>
          <w:sz w:val="24"/>
          <w:szCs w:val="24"/>
        </w:rPr>
        <w:t xml:space="preserve"> systém</w:t>
      </w:r>
      <w:r w:rsidRPr="00D30AAF">
        <w:rPr>
          <w:rFonts w:ascii="Times New Roman" w:hAnsi="Times New Roman"/>
          <w:i/>
          <w:sz w:val="24"/>
          <w:szCs w:val="24"/>
        </w:rPr>
        <w:t>;</w:t>
      </w:r>
    </w:p>
    <w:p w14:paraId="7FE21519" w14:textId="77777777" w:rsidR="00E93200" w:rsidRDefault="00E93200" w:rsidP="00D30AAF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Charta základných práv Európskej únie</w:t>
      </w:r>
      <w:r w:rsidR="00D75F7A" w:rsidRPr="00D30AAF">
        <w:rPr>
          <w:rFonts w:ascii="Times New Roman" w:hAnsi="Times New Roman"/>
          <w:i/>
          <w:sz w:val="24"/>
          <w:szCs w:val="24"/>
        </w:rPr>
        <w:t>;</w:t>
      </w:r>
    </w:p>
    <w:p w14:paraId="1F5066CE" w14:textId="77777777" w:rsidR="00280461" w:rsidRDefault="00E93200" w:rsidP="00D30AAF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Prijímacia smernica, Kvalifikačná smernica, Procedurálna smernica, Dublinské nariadenie, Nariadenie EURODAC</w:t>
      </w:r>
      <w:r w:rsidR="00280461" w:rsidRPr="00D30AAF">
        <w:rPr>
          <w:rFonts w:ascii="Times New Roman" w:hAnsi="Times New Roman"/>
          <w:i/>
          <w:sz w:val="24"/>
          <w:szCs w:val="24"/>
        </w:rPr>
        <w:t>;</w:t>
      </w:r>
    </w:p>
    <w:p w14:paraId="6A84B6F0" w14:textId="77777777" w:rsidR="00E93200" w:rsidRDefault="00E93200" w:rsidP="00D30AAF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Európsky podporný a azylový úrad (EASO)</w:t>
      </w:r>
      <w:r w:rsidR="00E83855">
        <w:rPr>
          <w:rFonts w:ascii="Times New Roman" w:hAnsi="Times New Roman"/>
          <w:i/>
          <w:sz w:val="24"/>
          <w:szCs w:val="24"/>
        </w:rPr>
        <w:t>.</w:t>
      </w:r>
    </w:p>
    <w:p w14:paraId="006B07AF" w14:textId="77777777" w:rsidR="00997477" w:rsidRDefault="00997477" w:rsidP="00997477">
      <w:pPr>
        <w:pStyle w:val="Odsekzoznamu"/>
        <w:spacing w:after="0"/>
        <w:ind w:left="1440"/>
        <w:jc w:val="both"/>
        <w:rPr>
          <w:rFonts w:ascii="Times New Roman" w:hAnsi="Times New Roman"/>
          <w:i/>
          <w:sz w:val="24"/>
          <w:szCs w:val="24"/>
        </w:rPr>
      </w:pPr>
    </w:p>
    <w:p w14:paraId="251266AB" w14:textId="77777777" w:rsidR="00997477" w:rsidRPr="007C26B3" w:rsidRDefault="00997477" w:rsidP="0099747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C26B3">
        <w:rPr>
          <w:rFonts w:ascii="Times New Roman" w:hAnsi="Times New Roman"/>
          <w:b/>
          <w:i/>
          <w:sz w:val="24"/>
          <w:szCs w:val="24"/>
        </w:rPr>
        <w:t>Azylové právo Európskej únie  (2. časť)</w:t>
      </w:r>
      <w:r w:rsidR="00734DCC" w:rsidRPr="00D75F7A">
        <w:rPr>
          <w:rFonts w:ascii="Times New Roman" w:hAnsi="Times New Roman"/>
          <w:b/>
          <w:sz w:val="24"/>
          <w:szCs w:val="24"/>
        </w:rPr>
        <w:t>;</w:t>
      </w:r>
    </w:p>
    <w:p w14:paraId="4DF97A66" w14:textId="77777777" w:rsidR="00997477" w:rsidRDefault="00997477" w:rsidP="00997477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Pôvodcovia prenasledovania</w:t>
      </w:r>
      <w:r w:rsidR="007C26B3" w:rsidRPr="00D30AAF">
        <w:rPr>
          <w:rFonts w:ascii="Times New Roman" w:hAnsi="Times New Roman"/>
          <w:i/>
          <w:sz w:val="24"/>
          <w:szCs w:val="24"/>
        </w:rPr>
        <w:t>;</w:t>
      </w:r>
    </w:p>
    <w:p w14:paraId="76D97CF2" w14:textId="77777777" w:rsidR="00997477" w:rsidRDefault="007C26B3" w:rsidP="00997477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Možnosť vnútorného presídlenia</w:t>
      </w:r>
      <w:r w:rsidRPr="00D30AAF">
        <w:rPr>
          <w:rFonts w:ascii="Times New Roman" w:hAnsi="Times New Roman"/>
          <w:i/>
          <w:sz w:val="24"/>
          <w:szCs w:val="24"/>
        </w:rPr>
        <w:t>;</w:t>
      </w:r>
    </w:p>
    <w:p w14:paraId="109B4900" w14:textId="77777777" w:rsidR="00734DCC" w:rsidRDefault="00734DCC" w:rsidP="00997477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Procesné záruky pre žiadateľov o azyl</w:t>
      </w:r>
      <w:r w:rsidRPr="00D30AAF">
        <w:rPr>
          <w:rFonts w:ascii="Times New Roman" w:hAnsi="Times New Roman"/>
          <w:i/>
          <w:sz w:val="24"/>
          <w:szCs w:val="24"/>
        </w:rPr>
        <w:t>;</w:t>
      </w:r>
    </w:p>
    <w:p w14:paraId="304C4CDC" w14:textId="77777777" w:rsidR="00734DCC" w:rsidRDefault="00734DCC" w:rsidP="00997477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Súčasný vývoj azylového práva v EÚ.</w:t>
      </w:r>
    </w:p>
    <w:p w14:paraId="7A2D4ED0" w14:textId="77777777" w:rsidR="00280461" w:rsidRPr="00D30AAF" w:rsidRDefault="00280461" w:rsidP="00D30A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373578ED" w14:textId="77777777" w:rsidR="00280461" w:rsidRPr="00D75F7A" w:rsidRDefault="008C367E" w:rsidP="0059593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5F7A">
        <w:rPr>
          <w:rFonts w:ascii="Times New Roman" w:hAnsi="Times New Roman"/>
          <w:b/>
          <w:sz w:val="24"/>
          <w:szCs w:val="24"/>
        </w:rPr>
        <w:t>Doplnková ochrana</w:t>
      </w:r>
      <w:r w:rsidR="00280461" w:rsidRPr="00D75F7A">
        <w:rPr>
          <w:rFonts w:ascii="Times New Roman" w:hAnsi="Times New Roman"/>
          <w:b/>
          <w:sz w:val="24"/>
          <w:szCs w:val="24"/>
        </w:rPr>
        <w:t>;</w:t>
      </w:r>
    </w:p>
    <w:p w14:paraId="196CDD37" w14:textId="77777777" w:rsidR="00280461" w:rsidRPr="00D30AAF" w:rsidRDefault="008C367E" w:rsidP="00D30AAF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Doplnková ochrana ako forma medzinárodnej ochrany</w:t>
      </w:r>
      <w:r w:rsidR="00280461" w:rsidRPr="00D30AAF">
        <w:rPr>
          <w:rFonts w:ascii="Times New Roman" w:hAnsi="Times New Roman"/>
          <w:i/>
          <w:sz w:val="24"/>
          <w:szCs w:val="24"/>
        </w:rPr>
        <w:t>;</w:t>
      </w:r>
    </w:p>
    <w:p w14:paraId="006F348B" w14:textId="77777777" w:rsidR="00280461" w:rsidRPr="00D30AAF" w:rsidRDefault="008C367E" w:rsidP="00D30AAF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Kvalifikačná smernica;</w:t>
      </w:r>
    </w:p>
    <w:p w14:paraId="453F5664" w14:textId="77777777" w:rsidR="00280461" w:rsidRDefault="008C367E" w:rsidP="00D30AAF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Práva osôb s poskytnutou doplnkovou ochranou</w:t>
      </w:r>
      <w:r w:rsidR="00280461">
        <w:rPr>
          <w:rFonts w:ascii="Times New Roman" w:hAnsi="Times New Roman"/>
          <w:i/>
          <w:sz w:val="24"/>
          <w:szCs w:val="24"/>
        </w:rPr>
        <w:t>;</w:t>
      </w:r>
    </w:p>
    <w:p w14:paraId="29E22661" w14:textId="77777777" w:rsidR="00280461" w:rsidRDefault="008C367E" w:rsidP="00D30AAF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Relevantná judikatúra týkajúca sa doplnkovej ochrany</w:t>
      </w:r>
      <w:r w:rsidR="00280461">
        <w:rPr>
          <w:rFonts w:ascii="Times New Roman" w:hAnsi="Times New Roman"/>
          <w:i/>
          <w:sz w:val="24"/>
          <w:szCs w:val="24"/>
        </w:rPr>
        <w:t>.</w:t>
      </w:r>
    </w:p>
    <w:p w14:paraId="63E71354" w14:textId="77777777" w:rsidR="00280461" w:rsidRPr="00D30AAF" w:rsidRDefault="00280461" w:rsidP="0000300F">
      <w:pPr>
        <w:pStyle w:val="Odsekzoznamu"/>
        <w:spacing w:after="0"/>
        <w:ind w:left="1440"/>
        <w:jc w:val="both"/>
        <w:rPr>
          <w:rFonts w:ascii="Times New Roman" w:hAnsi="Times New Roman"/>
          <w:i/>
          <w:sz w:val="24"/>
          <w:szCs w:val="24"/>
        </w:rPr>
      </w:pPr>
    </w:p>
    <w:p w14:paraId="32DD7148" w14:textId="77777777" w:rsidR="00280461" w:rsidRPr="00D75F7A" w:rsidRDefault="008C367E" w:rsidP="0059593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5F7A">
        <w:rPr>
          <w:rFonts w:ascii="Times New Roman" w:hAnsi="Times New Roman"/>
          <w:b/>
          <w:sz w:val="24"/>
          <w:szCs w:val="24"/>
        </w:rPr>
        <w:t>Azylové konanie na území Slovenskej republiky (1. časť)</w:t>
      </w:r>
      <w:r w:rsidR="00280461" w:rsidRPr="00D75F7A">
        <w:rPr>
          <w:rFonts w:ascii="Times New Roman" w:hAnsi="Times New Roman"/>
          <w:b/>
          <w:sz w:val="24"/>
          <w:szCs w:val="24"/>
        </w:rPr>
        <w:t>;</w:t>
      </w:r>
    </w:p>
    <w:p w14:paraId="744FA2FB" w14:textId="77777777" w:rsidR="00280461" w:rsidRDefault="008C367E" w:rsidP="008B19DD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Zákon č. 480/2002 Z. z. o azyle a o zmene a doplnení niektorých zákonov</w:t>
      </w:r>
      <w:r w:rsidR="00280461" w:rsidRPr="0000300F">
        <w:rPr>
          <w:rFonts w:ascii="Times New Roman" w:hAnsi="Times New Roman"/>
          <w:i/>
          <w:sz w:val="24"/>
          <w:szCs w:val="24"/>
        </w:rPr>
        <w:t>;</w:t>
      </w:r>
    </w:p>
    <w:p w14:paraId="2E2C707E" w14:textId="77777777" w:rsidR="00280461" w:rsidRPr="0000300F" w:rsidRDefault="008C367E" w:rsidP="0000300F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Základné pojmy</w:t>
      </w:r>
      <w:r w:rsidR="00280461" w:rsidRPr="0000300F">
        <w:rPr>
          <w:rFonts w:ascii="Times New Roman" w:hAnsi="Times New Roman"/>
          <w:i/>
          <w:sz w:val="24"/>
          <w:szCs w:val="24"/>
        </w:rPr>
        <w:t>;</w:t>
      </w:r>
    </w:p>
    <w:p w14:paraId="79E46E9B" w14:textId="77777777" w:rsidR="008C367E" w:rsidRDefault="008C367E" w:rsidP="002545CD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Podanie vyhlásenia, príslušnosť policajných útvarov</w:t>
      </w:r>
      <w:r w:rsidR="00E83855" w:rsidRPr="00213F30">
        <w:rPr>
          <w:rFonts w:ascii="Times New Roman" w:hAnsi="Times New Roman"/>
          <w:i/>
          <w:sz w:val="24"/>
          <w:szCs w:val="24"/>
        </w:rPr>
        <w:t>;</w:t>
      </w:r>
    </w:p>
    <w:p w14:paraId="4B743289" w14:textId="77777777" w:rsidR="00997477" w:rsidRPr="00997477" w:rsidRDefault="00AC7B66" w:rsidP="00997477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</w:t>
      </w:r>
      <w:r w:rsidR="008C367E">
        <w:rPr>
          <w:rFonts w:ascii="Times New Roman" w:hAnsi="Times New Roman"/>
          <w:i/>
          <w:sz w:val="24"/>
          <w:szCs w:val="24"/>
        </w:rPr>
        <w:t>ruhy rozhodnutí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43C37FC5" w14:textId="77777777" w:rsidR="008C367E" w:rsidRPr="00AC7B66" w:rsidRDefault="008C367E" w:rsidP="00AC7B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0985C7" w14:textId="77777777" w:rsidR="008C367E" w:rsidRPr="00D75F7A" w:rsidRDefault="008C367E" w:rsidP="008C367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5F7A">
        <w:rPr>
          <w:rFonts w:ascii="Times New Roman" w:hAnsi="Times New Roman"/>
          <w:b/>
          <w:sz w:val="24"/>
          <w:szCs w:val="24"/>
        </w:rPr>
        <w:t>Azylové konanie na území Slovenskej republiky (2. časť);</w:t>
      </w:r>
    </w:p>
    <w:p w14:paraId="0E5DFBA3" w14:textId="77777777" w:rsidR="00997477" w:rsidRPr="00997477" w:rsidRDefault="00997477" w:rsidP="00997477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Vzťah medzi Zákonom o azyle a Správnym poriadkom</w:t>
      </w:r>
      <w:r w:rsidRPr="00A4594B">
        <w:rPr>
          <w:rFonts w:ascii="Times New Roman" w:hAnsi="Times New Roman"/>
          <w:i/>
          <w:sz w:val="24"/>
          <w:szCs w:val="24"/>
        </w:rPr>
        <w:t>;</w:t>
      </w:r>
    </w:p>
    <w:p w14:paraId="468B559C" w14:textId="77777777" w:rsidR="008C367E" w:rsidRPr="00A4594B" w:rsidRDefault="008C367E" w:rsidP="002545CD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Práva a povinnosti osôb s udelenou medzinárodnou ochranou</w:t>
      </w:r>
      <w:r w:rsidR="00AC7B66" w:rsidRPr="00A4594B">
        <w:rPr>
          <w:rFonts w:ascii="Times New Roman" w:hAnsi="Times New Roman"/>
          <w:i/>
          <w:sz w:val="24"/>
          <w:szCs w:val="24"/>
        </w:rPr>
        <w:t>;</w:t>
      </w:r>
    </w:p>
    <w:p w14:paraId="6A6020C1" w14:textId="77777777" w:rsidR="00280461" w:rsidRPr="00A4594B" w:rsidRDefault="008C367E" w:rsidP="002545CD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Postavenie mimovládnych organizácii</w:t>
      </w:r>
      <w:r w:rsidR="00280461" w:rsidRPr="00A4594B">
        <w:rPr>
          <w:rFonts w:ascii="Times New Roman" w:hAnsi="Times New Roman"/>
          <w:i/>
          <w:sz w:val="24"/>
          <w:szCs w:val="24"/>
        </w:rPr>
        <w:t>;</w:t>
      </w:r>
    </w:p>
    <w:p w14:paraId="04D57936" w14:textId="77777777" w:rsidR="00280461" w:rsidRDefault="008C367E" w:rsidP="002545CD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Postavenie Migračného úradu Ministerstva vnútra Slovenskej republiky</w:t>
      </w:r>
      <w:r w:rsidR="00E83855">
        <w:rPr>
          <w:rFonts w:ascii="Times New Roman" w:hAnsi="Times New Roman"/>
          <w:i/>
          <w:sz w:val="24"/>
          <w:szCs w:val="24"/>
        </w:rPr>
        <w:t>.</w:t>
      </w:r>
    </w:p>
    <w:p w14:paraId="02A46FAA" w14:textId="77777777" w:rsidR="00997477" w:rsidRPr="009D047E" w:rsidRDefault="00997477" w:rsidP="009D047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795C74FE" w14:textId="77777777" w:rsidR="00997477" w:rsidRPr="00997477" w:rsidRDefault="00997477" w:rsidP="0099747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97477">
        <w:rPr>
          <w:rFonts w:ascii="Times New Roman" w:hAnsi="Times New Roman"/>
          <w:b/>
          <w:i/>
          <w:sz w:val="24"/>
          <w:szCs w:val="24"/>
        </w:rPr>
        <w:t>Opravné prostriedky</w:t>
      </w:r>
      <w:r w:rsidR="00734DCC" w:rsidRPr="00D75F7A">
        <w:rPr>
          <w:rFonts w:ascii="Times New Roman" w:hAnsi="Times New Roman"/>
          <w:b/>
          <w:sz w:val="24"/>
          <w:szCs w:val="24"/>
        </w:rPr>
        <w:t>;</w:t>
      </w:r>
    </w:p>
    <w:p w14:paraId="6B0122DE" w14:textId="6FF44571" w:rsidR="00997477" w:rsidRDefault="00997477" w:rsidP="00997477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Konanie pred </w:t>
      </w:r>
      <w:r w:rsidR="009D047E">
        <w:rPr>
          <w:rFonts w:ascii="Times New Roman" w:hAnsi="Times New Roman"/>
          <w:i/>
          <w:sz w:val="24"/>
          <w:szCs w:val="24"/>
        </w:rPr>
        <w:t>správnym</w:t>
      </w:r>
      <w:r>
        <w:rPr>
          <w:rFonts w:ascii="Times New Roman" w:hAnsi="Times New Roman"/>
          <w:i/>
          <w:sz w:val="24"/>
          <w:szCs w:val="24"/>
        </w:rPr>
        <w:t xml:space="preserve"> súdom</w:t>
      </w:r>
      <w:r w:rsidRPr="00A4594B">
        <w:rPr>
          <w:rFonts w:ascii="Times New Roman" w:hAnsi="Times New Roman"/>
          <w:i/>
          <w:sz w:val="24"/>
          <w:szCs w:val="24"/>
        </w:rPr>
        <w:t>;</w:t>
      </w:r>
    </w:p>
    <w:p w14:paraId="25A39350" w14:textId="77777777" w:rsidR="00997477" w:rsidRDefault="00997477" w:rsidP="00997477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Správna žaloba</w:t>
      </w:r>
      <w:r w:rsidRPr="00A4594B">
        <w:rPr>
          <w:rFonts w:ascii="Times New Roman" w:hAnsi="Times New Roman"/>
          <w:i/>
          <w:sz w:val="24"/>
          <w:szCs w:val="24"/>
        </w:rPr>
        <w:t>;</w:t>
      </w:r>
    </w:p>
    <w:p w14:paraId="0F5736DD" w14:textId="4A2B804D" w:rsidR="00997477" w:rsidRDefault="00997477" w:rsidP="00997477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Konanie pred Najvyšším </w:t>
      </w:r>
      <w:r w:rsidR="009D047E">
        <w:rPr>
          <w:rFonts w:ascii="Times New Roman" w:hAnsi="Times New Roman"/>
          <w:i/>
          <w:sz w:val="24"/>
          <w:szCs w:val="24"/>
        </w:rPr>
        <w:t xml:space="preserve">správnym </w:t>
      </w:r>
      <w:r>
        <w:rPr>
          <w:rFonts w:ascii="Times New Roman" w:hAnsi="Times New Roman"/>
          <w:i/>
          <w:sz w:val="24"/>
          <w:szCs w:val="24"/>
        </w:rPr>
        <w:t>súdom,</w:t>
      </w:r>
    </w:p>
    <w:p w14:paraId="1FE064C0" w14:textId="77777777" w:rsidR="008C367E" w:rsidRDefault="00997477" w:rsidP="00AC7B66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Kasačná sťažnosť</w:t>
      </w:r>
      <w:r w:rsidR="007C26B3">
        <w:rPr>
          <w:rFonts w:ascii="Times New Roman" w:hAnsi="Times New Roman"/>
          <w:i/>
          <w:sz w:val="24"/>
          <w:szCs w:val="24"/>
        </w:rPr>
        <w:t>.</w:t>
      </w:r>
    </w:p>
    <w:p w14:paraId="7E85D085" w14:textId="77777777" w:rsidR="007845C6" w:rsidRPr="00E948B0" w:rsidRDefault="007845C6" w:rsidP="00E948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E9D760D" w14:textId="77777777" w:rsidR="007845C6" w:rsidRDefault="007845C6" w:rsidP="0059593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Rekapitulácia.</w:t>
      </w:r>
    </w:p>
    <w:p w14:paraId="29C6B49B" w14:textId="77777777" w:rsidR="007845C6" w:rsidRDefault="007845C6" w:rsidP="007845C6">
      <w:pPr>
        <w:pStyle w:val="Odsekzoznamu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0B56BB" w14:textId="77777777" w:rsidR="007845C6" w:rsidRDefault="007845C6" w:rsidP="007845C6">
      <w:pPr>
        <w:pStyle w:val="Odsekzoznamu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90B1529" w14:textId="77777777" w:rsidR="007C26B3" w:rsidRPr="002522B4" w:rsidRDefault="007C26B3" w:rsidP="007C26B3">
      <w:pPr>
        <w:pStyle w:val="Normlnysozarkami"/>
        <w:numPr>
          <w:ilvl w:val="0"/>
          <w:numId w:val="0"/>
        </w:numPr>
        <w:ind w:left="360"/>
        <w:rPr>
          <w:b/>
          <w:sz w:val="22"/>
        </w:rPr>
      </w:pPr>
    </w:p>
    <w:p w14:paraId="59377579" w14:textId="77777777" w:rsidR="007C26B3" w:rsidRPr="002522B4" w:rsidRDefault="007C26B3" w:rsidP="007C26B3">
      <w:pPr>
        <w:pStyle w:val="Odsekzoznamu"/>
        <w:rPr>
          <w:b/>
        </w:rPr>
      </w:pPr>
    </w:p>
    <w:p w14:paraId="3FA289E9" w14:textId="77777777" w:rsidR="007C26B3" w:rsidRPr="007C26B3" w:rsidRDefault="007C26B3" w:rsidP="007C26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9917926" w14:textId="77777777" w:rsidR="00280461" w:rsidRPr="0059593B" w:rsidRDefault="00280461" w:rsidP="0059593B">
      <w:pPr>
        <w:tabs>
          <w:tab w:val="left" w:pos="2750"/>
        </w:tabs>
      </w:pPr>
    </w:p>
    <w:sectPr w:rsidR="00280461" w:rsidRPr="0059593B" w:rsidSect="00FA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65F3"/>
    <w:multiLevelType w:val="multilevel"/>
    <w:tmpl w:val="BD120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C27D4B"/>
    <w:multiLevelType w:val="hybridMultilevel"/>
    <w:tmpl w:val="0E60DB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36111"/>
    <w:multiLevelType w:val="singleLevel"/>
    <w:tmpl w:val="7AE62892"/>
    <w:lvl w:ilvl="0">
      <w:start w:val="1"/>
      <w:numFmt w:val="decimal"/>
      <w:pStyle w:val="Normlnysozarkami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DAC5605"/>
    <w:multiLevelType w:val="hybridMultilevel"/>
    <w:tmpl w:val="1784A57C"/>
    <w:lvl w:ilvl="0" w:tplc="FBC44C0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3471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53041">
    <w:abstractNumId w:val="2"/>
  </w:num>
  <w:num w:numId="3" w16cid:durableId="1073771777">
    <w:abstractNumId w:val="1"/>
  </w:num>
  <w:num w:numId="4" w16cid:durableId="150177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3B"/>
    <w:rsid w:val="0000300F"/>
    <w:rsid w:val="00054FB6"/>
    <w:rsid w:val="000730CC"/>
    <w:rsid w:val="00081965"/>
    <w:rsid w:val="001313B6"/>
    <w:rsid w:val="001D0DB5"/>
    <w:rsid w:val="00213F30"/>
    <w:rsid w:val="0024194E"/>
    <w:rsid w:val="002545CD"/>
    <w:rsid w:val="00265F9D"/>
    <w:rsid w:val="00280461"/>
    <w:rsid w:val="003529AE"/>
    <w:rsid w:val="00407EA5"/>
    <w:rsid w:val="004B4C6C"/>
    <w:rsid w:val="0059593B"/>
    <w:rsid w:val="005E50F0"/>
    <w:rsid w:val="006F0E4A"/>
    <w:rsid w:val="00726F3F"/>
    <w:rsid w:val="00734DCC"/>
    <w:rsid w:val="007845C6"/>
    <w:rsid w:val="007C26B3"/>
    <w:rsid w:val="00833B58"/>
    <w:rsid w:val="008418EF"/>
    <w:rsid w:val="00843144"/>
    <w:rsid w:val="008B19DD"/>
    <w:rsid w:val="008C367E"/>
    <w:rsid w:val="00943A0E"/>
    <w:rsid w:val="00997477"/>
    <w:rsid w:val="009D047E"/>
    <w:rsid w:val="009D34C8"/>
    <w:rsid w:val="00A4594B"/>
    <w:rsid w:val="00A81220"/>
    <w:rsid w:val="00AC7B66"/>
    <w:rsid w:val="00B13A21"/>
    <w:rsid w:val="00C01752"/>
    <w:rsid w:val="00C60BBD"/>
    <w:rsid w:val="00D30AAF"/>
    <w:rsid w:val="00D75F7A"/>
    <w:rsid w:val="00E83855"/>
    <w:rsid w:val="00E93200"/>
    <w:rsid w:val="00E948B0"/>
    <w:rsid w:val="00F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F0A7E"/>
  <w15:docId w15:val="{17E10A00-7415-0748-8315-C718DAA4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593B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593B"/>
    <w:pPr>
      <w:spacing w:after="160" w:line="256" w:lineRule="auto"/>
      <w:ind w:left="720"/>
      <w:contextualSpacing/>
    </w:pPr>
    <w:rPr>
      <w:rFonts w:cs="Times New Roman"/>
    </w:rPr>
  </w:style>
  <w:style w:type="paragraph" w:styleId="Normlnysozarkami">
    <w:name w:val="Normal Indent"/>
    <w:basedOn w:val="Normlny"/>
    <w:rsid w:val="00843144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8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28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3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Základy práva verejného obstarávania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práva verejného obstarávania</dc:title>
  <dc:subject/>
  <dc:creator>Miroslava Mittelmanova</dc:creator>
  <cp:keywords/>
  <dc:description/>
  <cp:lastModifiedBy>Mittelmannová Miroslava</cp:lastModifiedBy>
  <cp:revision>3</cp:revision>
  <dcterms:created xsi:type="dcterms:W3CDTF">2025-10-07T20:15:00Z</dcterms:created>
  <dcterms:modified xsi:type="dcterms:W3CDTF">2025-10-07T20:18:00Z</dcterms:modified>
</cp:coreProperties>
</file>